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eastAsia" w:ascii="方正小标宋_GBK" w:hAnsi="方正小标宋_GBK" w:eastAsia="方正小标宋_GBK" w:cs="方正小标宋_GBK"/>
          <w:bCs/>
          <w:kern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0"/>
          <w:szCs w:val="30"/>
          <w:lang w:val="en-US" w:eastAsia="zh-CN"/>
        </w:rPr>
        <w:t>附件5</w:t>
      </w:r>
    </w:p>
    <w:p>
      <w:pPr>
        <w:overflowPunct w:val="0"/>
        <w:spacing w:line="600" w:lineRule="exact"/>
        <w:jc w:val="left"/>
        <w:rPr>
          <w:rFonts w:hint="default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decimal" w:start="2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0E60E04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DC2EB3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9F509E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2</TotalTime>
  <ScaleCrop>false</ScaleCrop>
  <LinksUpToDate>false</LinksUpToDate>
  <CharactersWithSpaces>3571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嘿嘿哈哈哼</cp:lastModifiedBy>
  <cp:lastPrinted>2019-08-16T12:41:22Z</cp:lastPrinted>
  <dcterms:modified xsi:type="dcterms:W3CDTF">2019-08-16T12:50:59Z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