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仿宋" w:hAnsi="仿宋" w:eastAsia="仿宋" w:cs="仿宋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海南省中医院20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20年公开招聘岗位表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4C5157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（共</w:t>
      </w:r>
      <w:r>
        <w:rPr>
          <w:rFonts w:hint="eastAsia" w:ascii="仿宋" w:hAnsi="仿宋" w:eastAsia="仿宋" w:cs="仿宋"/>
          <w:b/>
          <w:i w:val="0"/>
          <w:caps w:val="0"/>
          <w:color w:val="4C5157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91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4C5157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480" w:right="0" w:hanging="480"/>
        <w:jc w:val="left"/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一、 </w:t>
      </w:r>
      <w:r>
        <w:rPr>
          <w:rFonts w:ascii="黑体" w:hAnsi="宋体" w:eastAsia="黑体" w:cs="黑体"/>
          <w:i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考核招聘岗位（高级职称专家</w:t>
      </w:r>
      <w:r>
        <w:rPr>
          <w:rFonts w:hint="eastAsia" w:ascii="黑体" w:hAnsi="宋体" w:eastAsia="黑体" w:cs="黑体"/>
          <w:i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8个）</w:t>
      </w:r>
    </w:p>
    <w:tbl>
      <w:tblPr>
        <w:tblW w:w="10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718"/>
        <w:gridCol w:w="2272"/>
        <w:gridCol w:w="2451"/>
        <w:gridCol w:w="2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7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专业及研究方向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学历、资格</w:t>
            </w:r>
          </w:p>
        </w:tc>
        <w:tc>
          <w:tcPr>
            <w:tcW w:w="270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03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本科及以上学历，副主任医师以上资格。</w:t>
            </w:r>
          </w:p>
        </w:tc>
        <w:tc>
          <w:tcPr>
            <w:tcW w:w="2706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在三级甲等医院相应专科连续工作满8年以上, 离退休年龄不少于8年。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03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慢病管理中心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706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03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骨伤科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706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03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针灸推拿学、中医内科学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706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0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老年病科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临床医学、中医学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706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0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706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二、考试招聘岗位（83个）</w:t>
      </w:r>
    </w:p>
    <w:tbl>
      <w:tblPr>
        <w:tblW w:w="10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720"/>
        <w:gridCol w:w="2415"/>
        <w:gridCol w:w="2325"/>
        <w:gridCol w:w="2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学历、资格</w:t>
            </w:r>
          </w:p>
        </w:tc>
        <w:tc>
          <w:tcPr>
            <w:tcW w:w="284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中医学、中西医结合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硕士研究生以上学历学位，应具有初级以上职称专业技术任职资格；或本科学历，应具有中级以上职称专业技术任职资格。</w:t>
            </w:r>
          </w:p>
        </w:tc>
        <w:tc>
          <w:tcPr>
            <w:tcW w:w="28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硕士研究生学历学位者，在三级甲等医院连续工作满1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年以上；或本科学历者，在三级甲等医院相应专科连续工作满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年以上；年龄在40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针灸科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、康复科   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推拿科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针灸推拿、中医学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中医妇科学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both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超声影像科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药学部或制剂中心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硕士研究生以上学历学位，应具有初级以上职称专业技术任职资格；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应具有中级以上职称专业技术任职资格。</w:t>
            </w:r>
          </w:p>
        </w:tc>
        <w:tc>
          <w:tcPr>
            <w:tcW w:w="28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硕士研究生学历学位者，在三级甲等医院连续工作满1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年以上；或本科学历者，在三级甲等医院相应专科连续工作满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年以上；年龄在40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各科室护士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专业技术任职资格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2年及以上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在三级甲等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医院从事临床护理工作满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年以上；年龄在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在新冠肺炎期间参加支援湖北抗疫，有三级甲等医院工作经历者，不受该岗位条件限制。且同等条件下优先。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计算机科学与技术、网络工程、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本科及以上学历，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级及以上专业技术任职资格。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三级甲等医院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从事信息技术工作的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硕士研究生；或本科学历，在三级甲等医院相应专科连续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年以上；年龄在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管理学、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法学、生物工程、仪器类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及医学专业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及以上学历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，在三级甲等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医院连续工作满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有相关行政管理工作经历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年龄在4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22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硕士研究生以上学历学位，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具有初级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以上职称专业技术任职资格；或本科学历，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具有中级以上职称专业技术任职资格。</w:t>
            </w:r>
          </w:p>
        </w:tc>
        <w:tc>
          <w:tcPr>
            <w:tcW w:w="28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硕士研究生学历学位者，在三级甲等医院连续工作满1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年以上；或本科学历者，在三级甲等医院相应专科连续工作满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年以上；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年龄在45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2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注：时间计算截止至2019年12月31日，性别不限。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86FE0"/>
    <w:rsid w:val="3EF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2020-09-14T08:39:00Z</dcterms:created>
  <dc:creator>瓦叫小梨涡</dc:creator>
  <cp:lastModifiedBy>瓦叫小梨涡</cp:lastModifiedBy>
  <dcterms:modified xsi:type="dcterms:W3CDTF">2020-09-14T08:41:11Z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