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因新冠肺炎疫情影响，按照疫情防控减少人员聚集的要求，本次考试采用线上笔试的方式。请大家仔细阅读以下内容，确保考试顺利进行。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四、为确保笔试系统稳定，请使用360极速或谷歌浏览器作答，宽带网速建议在10M以上（考试前请考生准备好备用考试设备及网络热点，以防考试中设备及网络故障影响考试）。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在与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（考试系统和手机腾讯会议实时监控）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七、考生在考试过程中请将电脑摄像头功能和麦克风打开，确保监考人员正常监考，考试期间不允许离开监控范围，否则视为作弊，取消考生成绩。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九、10:00正式开始考试，考试时间为150分钟，不得提前交卷，考试结束方可离场。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十、考生不得要求监考人员解释试题，如遇任何技术的相关问题，请通过考试系统将问题反馈至线上技术保障，会有专人及时进行回复。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考务电话：022-58703000-85</w:t>
      </w:r>
      <w:r>
        <w:rPr>
          <w:rFonts w:ascii="仿宋_GB2312" w:hAnsi="仿宋_GB2312" w:eastAsia="仿宋_GB2312" w:cs="仿宋_GB2312"/>
          <w:sz w:val="30"/>
          <w:szCs w:val="30"/>
        </w:rPr>
        <w:t>672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58DA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0E3B"/>
    <w:rsid w:val="008E2D50"/>
    <w:rsid w:val="00903B3C"/>
    <w:rsid w:val="0092052C"/>
    <w:rsid w:val="009B1208"/>
    <w:rsid w:val="00A470C3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88236C4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3C15307E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5111736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313</Words>
  <Characters>1787</Characters>
  <Lines>14</Lines>
  <Paragraphs>4</Paragraphs>
  <TotalTime>34</TotalTime>
  <ScaleCrop>false</ScaleCrop>
  <LinksUpToDate>false</LinksUpToDate>
  <CharactersWithSpaces>2096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AAAres、</cp:lastModifiedBy>
  <cp:lastPrinted>2020-10-26T04:30:37Z</cp:lastPrinted>
  <dcterms:modified xsi:type="dcterms:W3CDTF">2020-10-26T10:06:11Z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