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Autospacing="0" w:afterAutospacing="0" w:line="600" w:lineRule="exact"/>
        <w:jc w:val="both"/>
        <w:rPr>
          <w:rFonts w:ascii="Times New Roman" w:hAnsi="Times New Roman" w:eastAsia="黑体" w:cs="Times New Roman"/>
          <w:color w:val="000000"/>
        </w:rPr>
      </w:pPr>
      <w:r>
        <w:rPr>
          <w:rStyle w:val="15"/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/>
        </w:rPr>
        <w:t>附件</w:t>
      </w:r>
    </w:p>
    <w:p>
      <w:pPr>
        <w:spacing w:line="520" w:lineRule="exact"/>
        <w:ind w:firstLine="856" w:firstLineChars="20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2021年张家界市永定区公开引进急需紧缺人才职位计划表</w:t>
      </w:r>
    </w:p>
    <w:tbl>
      <w:tblPr>
        <w:tblStyle w:val="8"/>
        <w:tblW w:w="15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688"/>
        <w:gridCol w:w="1238"/>
        <w:gridCol w:w="690"/>
        <w:gridCol w:w="705"/>
        <w:gridCol w:w="1082"/>
        <w:gridCol w:w="1288"/>
        <w:gridCol w:w="2249"/>
        <w:gridCol w:w="661"/>
        <w:gridCol w:w="1605"/>
        <w:gridCol w:w="1590"/>
        <w:gridCol w:w="85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引进单位名称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2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-11"/>
                <w:sz w:val="21"/>
                <w:szCs w:val="21"/>
              </w:rPr>
              <w:t>引进岗位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引进计划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spacing w:line="280" w:lineRule="exact"/>
              <w:ind w:left="588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引进对象报名要求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引进单位待遇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-11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7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28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学历学位要求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职称要求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  <w:shd w:val="clear" w:color="auto" w:fill="FFFFFF"/>
              </w:rPr>
              <w:t>茅岩河镇人民政府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事业单位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  <w:shd w:val="clear" w:color="auto" w:fill="FFFFFF"/>
              </w:rPr>
              <w:t>农业综合服务中心（经管岗）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30周岁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双一流大学全日制本科及以上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熟练操作电脑，具有一定数据统计，财务管理能力。面向高校毕业生。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工资按国家规定标准执行，人才引进待遇按照《张家界市人才引进实施办法》执行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吴晓玲</w:t>
            </w: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744-8542037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永定区审计局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事业单位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建设项目审计中心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35周岁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双一流大学全日制本科及以上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财政学、金融学、金融、产业经济学、应用经济学、会计学、会计、审计、工程管理、经济学、审计学、金融工程、投资学、资源与环境经济学、商务经济学、互联网金融、经济工程、金融科技、计算金融、经济与金融、工程造价、财务管理、工程审计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每年需出差180天以上。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面向高校毕业生。</w:t>
            </w:r>
          </w:p>
        </w:tc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覃梨</w:t>
            </w: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0744-8596092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永定区应急管理局</w:t>
            </w:r>
          </w:p>
        </w:tc>
        <w:tc>
          <w:tcPr>
            <w:tcW w:w="68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事业单位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区安全生产执法大队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33周岁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双一流大学全日制本科及以上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水利类、水利工程类</w:t>
            </w:r>
          </w:p>
        </w:tc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面向高校毕业生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李祥松</w:t>
            </w: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0744-8596085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张家界市中医医院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差额事业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35周岁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以下（博士研究生年龄放宽到40周岁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以下）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内科学、中医内科学（呼吸方向）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已规培（2021年毕业生需在毕业当年度取得规培证），有医师资格证，能胜任本职工作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工资按国家规定标准执行，人才引进待遇按照《张家界市人才引进实施办法》执行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周召杰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0744-8260459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内科学、中医内科学、中西医结合临床（消化方向）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内科学、中医内科学（心血管方向）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外科医师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外科学（心胸外科方向）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外科医师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外科学（泌尿外科方向）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儿科医师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中医儿科学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骨伤科医师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中医骨伤科学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重症医学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内科学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外科学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（重症方向）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肛肠科医师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中医外科学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（肛肠方向）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皮肤科医师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中医外科学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（皮肤性病方向）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张家界市中医医院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差额事业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药学部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35周岁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以下（博士研究生年龄放宽到40周岁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以下）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生物化工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（药物制剂方向）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能胜任本职工作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工资按国家规定标准执行，人才引进待遇按照《张家界市人才引进实施办法》执行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周召杰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0744-8260459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中医内科学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（内分泌方向）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已规培（2021年毕业生需在毕业当年度取得规培证），有医师资格证，能胜任本职工作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中医内科学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（肿瘤方向）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康复科医师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康复医学与理疗学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有医师资格证，能胜任本职工作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内科医师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中医内科学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（老年医学方向）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已规培（2021年毕业生需在毕业当年度取得规培证），有医师资格证，能胜任本职工作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妇产科医师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妇产科学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临床医学</w:t>
            </w:r>
          </w:p>
        </w:tc>
        <w:tc>
          <w:tcPr>
            <w:tcW w:w="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眼科医师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中医五官科学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(眼科方向）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针灸推拿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永定区妇幼保健计划生育服务中心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事业单位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妇产科医师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35周岁及以下（博士研究生年龄放宽到4</w:t>
            </w:r>
            <w:r>
              <w:rPr>
                <w:rFonts w:ascii="Times New Roman" w:hAnsi="Times New Roman" w:cs="Times New Roman"/>
                <w:color w:val="000000"/>
                <w:spacing w:val="-20"/>
                <w:kern w:val="0"/>
                <w:sz w:val="21"/>
                <w:szCs w:val="21"/>
              </w:rPr>
              <w:t>0周岁及以下）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临床医学、妇产科学、中医妇科学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有执业医师资格证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工资按国家规定标准执行，人才引进待遇按照《张家界市人才引进实施办法》执行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王玲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0744-2222187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>超声科医师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35周岁及以下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（博士研究生年龄放宽到40周岁及以下）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临床医学、医学影像学、影像医学与核医学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已规培，有执业医师资格证（具有副高级职称人员年龄放宽至4</w:t>
            </w:r>
            <w:r>
              <w:rPr>
                <w:rFonts w:ascii="Times New Roman" w:hAnsi="Times New Roman" w:cs="Times New Roman"/>
                <w:color w:val="000000"/>
                <w:spacing w:val="-20"/>
                <w:kern w:val="0"/>
                <w:sz w:val="21"/>
                <w:szCs w:val="21"/>
              </w:rPr>
              <w:t>5周岁，学历放宽至本科）</w:t>
            </w:r>
          </w:p>
        </w:tc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张家界天门旅游经济投资有限责任公司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金融投资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35周岁</w:t>
            </w: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以下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双一流大学全日制本科及以上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金融学、保险学、金融工程、投资学、金融、保险、资产评估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工资按国家规定标准执行，人才引进待遇按照《张家界市人才引进实施办法》执行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吕梦宁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0"/>
                <w:sz w:val="21"/>
                <w:szCs w:val="21"/>
              </w:rPr>
              <w:t>0744-2888829703120037@qq.com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</w:rPr>
              <w:t>成本合同审计岗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1"/>
                <w:szCs w:val="21"/>
              </w:rPr>
              <w:t>土木工程、工程造价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</w:tbl>
    <w:p>
      <w:pPr>
        <w:spacing w:line="120" w:lineRule="exact"/>
        <w:rPr>
          <w:rFonts w:ascii="Times New Roman" w:hAnsi="Times New Roman" w:eastAsia="仿宋_GB2312" w:cs="Times New Roman"/>
          <w:color w:val="000000"/>
          <w:szCs w:val="21"/>
        </w:rPr>
      </w:pP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1417" w:bottom="1587" w:left="141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630"/>
        <w:jc w:val="left"/>
        <w:rPr>
          <w:rFonts w:ascii="Times New Roman" w:hAnsi="Times New Roman" w:cs="Times New Roman"/>
          <w:sz w:val="21"/>
          <w:szCs w:val="21"/>
        </w:rPr>
      </w:pPr>
    </w:p>
    <w:sectPr>
      <w:headerReference r:id="rId6" w:type="default"/>
      <w:footerReference r:id="rId8" w:type="default"/>
      <w:headerReference r:id="rId7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- 35 -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488" w:y="-234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- 40 -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M4e+2QAAAAoBAAAPAAAAAAAAAAEAIAAAACIAAABkcnMvZG93bnJldi54bWxQSwECFAAUAAAACACH&#10;TuJAQXKrGrEBAABDAwAADgAAAAAAAAABACAAAAAoAQAAZHJzL2Uyb0RvYy54bWxQSwUGAAAAAAYA&#10;BgBZAQAASwUAAAAA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3EE607E"/>
    <w:rsid w:val="04832ADC"/>
    <w:rsid w:val="08EE759F"/>
    <w:rsid w:val="0A2A195E"/>
    <w:rsid w:val="0B2D6095"/>
    <w:rsid w:val="0C63366A"/>
    <w:rsid w:val="11A057C6"/>
    <w:rsid w:val="131D39FD"/>
    <w:rsid w:val="16232B3A"/>
    <w:rsid w:val="17667955"/>
    <w:rsid w:val="191922B9"/>
    <w:rsid w:val="198C3AF9"/>
    <w:rsid w:val="1B381739"/>
    <w:rsid w:val="1B3D63B1"/>
    <w:rsid w:val="1B6035EB"/>
    <w:rsid w:val="1E7C6B0D"/>
    <w:rsid w:val="1F244A60"/>
    <w:rsid w:val="21BC086C"/>
    <w:rsid w:val="222677E1"/>
    <w:rsid w:val="23603B0F"/>
    <w:rsid w:val="23756528"/>
    <w:rsid w:val="23B36A70"/>
    <w:rsid w:val="251411D7"/>
    <w:rsid w:val="255C3648"/>
    <w:rsid w:val="262366B0"/>
    <w:rsid w:val="26415D0F"/>
    <w:rsid w:val="28271401"/>
    <w:rsid w:val="28A74EB3"/>
    <w:rsid w:val="2A023AAD"/>
    <w:rsid w:val="2DB52B82"/>
    <w:rsid w:val="2E0432C3"/>
    <w:rsid w:val="2ED237A2"/>
    <w:rsid w:val="304E6729"/>
    <w:rsid w:val="314A4A10"/>
    <w:rsid w:val="31511E24"/>
    <w:rsid w:val="31615253"/>
    <w:rsid w:val="31A75622"/>
    <w:rsid w:val="336A4E93"/>
    <w:rsid w:val="33FC0DDC"/>
    <w:rsid w:val="34970607"/>
    <w:rsid w:val="35501E1D"/>
    <w:rsid w:val="3AD328C6"/>
    <w:rsid w:val="3B58140B"/>
    <w:rsid w:val="3BEE3E67"/>
    <w:rsid w:val="3C153135"/>
    <w:rsid w:val="3CD43F7C"/>
    <w:rsid w:val="408423A2"/>
    <w:rsid w:val="45265AD1"/>
    <w:rsid w:val="454F584F"/>
    <w:rsid w:val="46FB6210"/>
    <w:rsid w:val="479F39A9"/>
    <w:rsid w:val="496C5B58"/>
    <w:rsid w:val="4D2E25DE"/>
    <w:rsid w:val="4E6E6272"/>
    <w:rsid w:val="50C4553A"/>
    <w:rsid w:val="556160F1"/>
    <w:rsid w:val="566B7DF6"/>
    <w:rsid w:val="5A6057A6"/>
    <w:rsid w:val="5A8F1137"/>
    <w:rsid w:val="5E4F57F3"/>
    <w:rsid w:val="61A83BBA"/>
    <w:rsid w:val="633906FF"/>
    <w:rsid w:val="64275671"/>
    <w:rsid w:val="668B4940"/>
    <w:rsid w:val="67BC5CC6"/>
    <w:rsid w:val="6BB00F55"/>
    <w:rsid w:val="6DA12E5D"/>
    <w:rsid w:val="6DE76AAF"/>
    <w:rsid w:val="6E292F73"/>
    <w:rsid w:val="6F8B5D25"/>
    <w:rsid w:val="700A4438"/>
    <w:rsid w:val="727173A6"/>
    <w:rsid w:val="73EB4B09"/>
    <w:rsid w:val="745A5FCE"/>
    <w:rsid w:val="757E2EC2"/>
    <w:rsid w:val="770177D8"/>
    <w:rsid w:val="7B41169F"/>
    <w:rsid w:val="7C272617"/>
    <w:rsid w:val="7ECF5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0</TotalTime>
  <ScaleCrop>false</ScaleCrop>
  <LinksUpToDate>false</LinksUpToDate>
  <CharactersWithSpaces>47767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陌上~夕舞诺</cp:lastModifiedBy>
  <cp:lastPrinted>2020-11-17T01:24:00Z</cp:lastPrinted>
  <dcterms:modified xsi:type="dcterms:W3CDTF">2020-11-18T01:21:05Z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