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025"/>
        <w:gridCol w:w="889"/>
        <w:gridCol w:w="688"/>
        <w:gridCol w:w="728"/>
        <w:gridCol w:w="683"/>
        <w:gridCol w:w="31"/>
        <w:gridCol w:w="700"/>
        <w:gridCol w:w="31"/>
        <w:gridCol w:w="748"/>
        <w:gridCol w:w="748"/>
        <w:gridCol w:w="870"/>
        <w:gridCol w:w="1020"/>
        <w:gridCol w:w="496"/>
        <w:gridCol w:w="759"/>
        <w:gridCol w:w="414"/>
        <w:gridCol w:w="1213"/>
        <w:gridCol w:w="1515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1：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eastAsia="zh-CN"/>
              </w:rPr>
              <w:t>克拉玛依市卫生健康委员会</w:t>
            </w:r>
            <w:r>
              <w:rPr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公开招聘备案制事业编工作人员和事业性岗位工作人员岗位表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4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人数</w:t>
            </w:r>
          </w:p>
        </w:tc>
        <w:tc>
          <w:tcPr>
            <w:tcW w:w="393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族别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招聘单位联系人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1004公共卫生与预防医学类、1001基础医学类、1010医学技术类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郭科宇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0990-6629686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2261033844@ qq.com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备案制事业编制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1010医学技术类、1002临床医学类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郭科宇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0990-6629686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2261033844@ qq.com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备案制事业编制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保健门诊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2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1002临床医学类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1004公共卫生与预防医学类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1011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护理学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郭科宇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0990-6629686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2261033844@ qq.com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备案制事业编制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2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郭科宇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0990-6629686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2261033844@ qq.com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事业性岗位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393D"/>
    <w:rsid w:val="7FA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2021-01-08T05:55:00Z</dcterms:created>
  <dc:creator>ADRIAN.</dc:creator>
  <cp:lastModifiedBy>ADRIAN.</cp:lastModifiedBy>
  <dcterms:modified xsi:type="dcterms:W3CDTF">2021-01-08T05:56:18Z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