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32"/>
          <w:szCs w:val="32"/>
          <w:bdr w:val="none" w:color="auto" w:sz="0" w:space="0"/>
        </w:rPr>
        <w:t>清远市清城区总工会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报考岗位</w:t>
      </w:r>
    </w:p>
    <w:bookmarkEnd w:id="0"/>
    <w:tbl>
      <w:tblPr>
        <w:tblW w:w="96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1071"/>
        <w:gridCol w:w="870"/>
        <w:gridCol w:w="812"/>
        <w:gridCol w:w="870"/>
        <w:gridCol w:w="971"/>
        <w:gridCol w:w="853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0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（代码）</w:t>
            </w:r>
          </w:p>
        </w:tc>
        <w:tc>
          <w:tcPr>
            <w:tcW w:w="10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9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8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21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0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源潭镇工联会社会化工会工作者（01）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清远市户籍，男性年龄不超40周岁，女性年龄不超35周岁。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0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飞来峡镇总工会社会化工会工作者（02）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清远市户籍，男性年龄不超40周岁，女性年龄不超35周岁。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037C7"/>
    <w:rsid w:val="442037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2021-01-15T06:47:00Z</dcterms:created>
  <dc:creator>WPS_1609033458</dc:creator>
  <cp:lastModifiedBy>WPS_1609033458</cp:lastModifiedBy>
  <dcterms:modified xsi:type="dcterms:W3CDTF">2021-01-15T06:47:21Z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