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60" w:lineRule="exact"/>
        <w:ind w:right="195" w:rightChars="93"/>
        <w:jc w:val="center"/>
        <w:rPr>
          <w:rFonts w:hint="eastAsia" w:ascii="方正小标宋简体" w:hAnsi="方正小标宋简体" w:eastAsia="方正小标宋简体" w:cs="方正小标宋简体"/>
          <w:color w:val="000000"/>
          <w:kern w:val="0"/>
          <w:sz w:val="36"/>
          <w:szCs w:val="36"/>
          <w:lang w:eastAsia="zh-CN"/>
        </w:rPr>
      </w:pPr>
    </w:p>
    <w:p>
      <w:pPr>
        <w:widowControl/>
        <w:spacing w:before="100" w:beforeAutospacing="1" w:after="100" w:afterAutospacing="1" w:line="560" w:lineRule="exact"/>
        <w:ind w:right="195" w:rightChars="93"/>
        <w:jc w:val="center"/>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eastAsia="zh-CN"/>
        </w:rPr>
        <w:t>安徽财经大学</w:t>
      </w:r>
      <w:r>
        <w:rPr>
          <w:rFonts w:hint="eastAsia" w:ascii="方正小标宋简体" w:hAnsi="方正小标宋简体" w:eastAsia="方正小标宋简体" w:cs="方正小标宋简体"/>
          <w:color w:val="000000"/>
          <w:kern w:val="0"/>
          <w:sz w:val="36"/>
          <w:szCs w:val="36"/>
          <w:lang w:val="en-US" w:eastAsia="zh-CN"/>
        </w:rPr>
        <w:t>2021年度博士人才分类和引进待遇</w:t>
      </w:r>
    </w:p>
    <w:p>
      <w:pPr>
        <w:ind w:firstLine="600" w:firstLineChars="200"/>
        <w:rPr>
          <w:rFonts w:hint="eastAsia" w:ascii="方正小标宋简体" w:hAnsi="方正小标宋简体" w:eastAsia="方正小标宋简体" w:cs="方正小标宋简体"/>
          <w:sz w:val="30"/>
          <w:szCs w:val="30"/>
          <w:lang w:eastAsia="zh-CN"/>
        </w:rPr>
      </w:pPr>
      <w:r>
        <w:rPr>
          <w:rFonts w:hint="eastAsia" w:ascii="方正小标宋简体" w:hAnsi="方正小标宋简体" w:eastAsia="方正小标宋简体" w:cs="方正小标宋简体"/>
          <w:sz w:val="30"/>
          <w:szCs w:val="30"/>
          <w:lang w:eastAsia="zh-CN"/>
        </w:rPr>
        <w:t>一、博士人才分类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应聘教学科研岗位博士应具有较高的思想政治素质和高尚的道德情操，遵纪守法，热爱党的教育事业，具有较好的教学研究能力，同时近四年取得较好科研业绩，根据博士个人综合素质和近四年来的科研业绩，分为以下三个层次。</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第一层次，符合下列条件之一：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1.在A级以上期刊发表论文1篇以上，或在B级以上期刊发表论文2篇以上；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2.在B级期刊发表论文1篇以上，同时在C级期刊发表论文2篇以上（CSSCI,CSCD，EI来源期刊和SCI,SSCI检索源期刊）；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3.在C级期刊发表论文5篇以上（含CSSCI,CSCD，EI来源期刊和SCI,SSCI检索源期刊）。</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第二层次，符合下列条件之一：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1.在B级期刊发表论文1篇以上；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2.在C级期刊发表论文3篇以上（含CSSCI,CSCD，EI来源期刊和SCI,SSCI检索源期刊）。</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rPr>
      </w:pPr>
      <w:bookmarkStart w:id="0" w:name="_GoBack"/>
      <w:r>
        <w:rPr>
          <w:rFonts w:hint="eastAsia" w:ascii="仿宋" w:hAnsi="仿宋" w:eastAsia="仿宋" w:cs="仿宋"/>
          <w:b/>
          <w:bCs/>
          <w:sz w:val="30"/>
          <w:szCs w:val="30"/>
        </w:rPr>
        <w:t>第三层次，胜任教学科研岗位要求的博士。</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备注：以上期刊分类按照《安徽财经大学学术期刊目录》（2019）执行， SCI、SSCI和EI来源期刊是第一作者或通讯作者，其它成果均为第一作者。其博士指导教师第1作者，个人第2作者的视同为第1作者。</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lang w:eastAsia="zh-CN"/>
        </w:rPr>
      </w:pPr>
    </w:p>
    <w:p>
      <w:pPr>
        <w:ind w:firstLine="600" w:firstLineChars="200"/>
        <w:rPr>
          <w:rFonts w:hint="eastAsia" w:ascii="方正小标宋简体" w:hAnsi="方正小标宋简体" w:eastAsia="方正小标宋简体" w:cs="方正小标宋简体"/>
          <w:sz w:val="30"/>
          <w:szCs w:val="30"/>
          <w:lang w:eastAsia="zh-CN"/>
        </w:rPr>
      </w:pPr>
      <w:r>
        <w:rPr>
          <w:rFonts w:hint="eastAsia" w:ascii="方正小标宋简体" w:hAnsi="方正小标宋简体" w:eastAsia="方正小标宋简体" w:cs="方正小标宋简体"/>
          <w:sz w:val="30"/>
          <w:szCs w:val="30"/>
          <w:lang w:eastAsia="zh-CN"/>
        </w:rPr>
        <w:t>二、博士引进待遇</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03"/>
        <w:gridCol w:w="1550"/>
        <w:gridCol w:w="1626"/>
        <w:gridCol w:w="1382"/>
        <w:gridCol w:w="1382"/>
        <w:gridCol w:w="18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4" w:hRule="exact"/>
          <w:jc w:val="center"/>
        </w:trPr>
        <w:tc>
          <w:tcPr>
            <w:tcW w:w="2123" w:type="dxa"/>
            <w:vAlign w:val="center"/>
          </w:tcPr>
          <w:p>
            <w:pPr>
              <w:jc w:val="center"/>
              <w:rPr>
                <w:rFonts w:hint="eastAsia" w:ascii="仿宋" w:hAnsi="仿宋" w:eastAsia="仿宋" w:cs="仿宋"/>
                <w:b/>
                <w:bCs/>
              </w:rPr>
            </w:pPr>
            <w:r>
              <w:rPr>
                <w:rFonts w:hint="eastAsia" w:ascii="仿宋" w:hAnsi="仿宋" w:eastAsia="仿宋" w:cs="仿宋"/>
                <w:b/>
                <w:bCs/>
              </w:rPr>
              <w:t>专任教师</w:t>
            </w:r>
          </w:p>
          <w:p>
            <w:pPr>
              <w:jc w:val="center"/>
              <w:rPr>
                <w:rFonts w:hint="eastAsia" w:ascii="仿宋" w:hAnsi="仿宋" w:eastAsia="仿宋" w:cs="仿宋"/>
                <w:b/>
                <w:bCs/>
              </w:rPr>
            </w:pPr>
            <w:r>
              <w:rPr>
                <w:rFonts w:hint="eastAsia" w:ascii="仿宋" w:hAnsi="仿宋" w:eastAsia="仿宋" w:cs="仿宋"/>
                <w:b/>
                <w:bCs/>
              </w:rPr>
              <w:t>人才类别</w:t>
            </w:r>
          </w:p>
        </w:tc>
        <w:tc>
          <w:tcPr>
            <w:tcW w:w="2208" w:type="dxa"/>
            <w:vAlign w:val="center"/>
          </w:tcPr>
          <w:p>
            <w:pPr>
              <w:jc w:val="center"/>
              <w:rPr>
                <w:rFonts w:hint="eastAsia" w:ascii="仿宋" w:hAnsi="仿宋" w:eastAsia="仿宋" w:cs="仿宋"/>
                <w:b/>
                <w:bCs/>
              </w:rPr>
            </w:pPr>
            <w:r>
              <w:rPr>
                <w:rFonts w:hint="eastAsia" w:ascii="仿宋" w:hAnsi="仿宋" w:eastAsia="仿宋" w:cs="仿宋"/>
                <w:b/>
                <w:bCs/>
              </w:rPr>
              <w:t>总待遇</w:t>
            </w:r>
          </w:p>
        </w:tc>
        <w:tc>
          <w:tcPr>
            <w:tcW w:w="2552" w:type="dxa"/>
            <w:vAlign w:val="center"/>
          </w:tcPr>
          <w:p>
            <w:pPr>
              <w:jc w:val="center"/>
              <w:rPr>
                <w:rFonts w:hint="eastAsia" w:ascii="仿宋" w:hAnsi="仿宋" w:eastAsia="仿宋" w:cs="仿宋"/>
                <w:b/>
                <w:bCs/>
              </w:rPr>
            </w:pPr>
            <w:r>
              <w:rPr>
                <w:rFonts w:hint="eastAsia" w:ascii="仿宋" w:hAnsi="仿宋" w:eastAsia="仿宋" w:cs="仿宋"/>
                <w:b/>
                <w:bCs/>
              </w:rPr>
              <w:t>购房与安家</w:t>
            </w:r>
          </w:p>
          <w:p>
            <w:pPr>
              <w:jc w:val="center"/>
              <w:rPr>
                <w:rFonts w:hint="eastAsia" w:ascii="仿宋" w:hAnsi="仿宋" w:eastAsia="仿宋" w:cs="仿宋"/>
                <w:b/>
                <w:bCs/>
              </w:rPr>
            </w:pPr>
            <w:r>
              <w:rPr>
                <w:rFonts w:hint="eastAsia" w:ascii="仿宋" w:hAnsi="仿宋" w:eastAsia="仿宋" w:cs="仿宋"/>
                <w:b/>
                <w:bCs/>
              </w:rPr>
              <w:t>补贴</w:t>
            </w:r>
          </w:p>
        </w:tc>
        <w:tc>
          <w:tcPr>
            <w:tcW w:w="2079" w:type="dxa"/>
            <w:vAlign w:val="center"/>
          </w:tcPr>
          <w:p>
            <w:pPr>
              <w:jc w:val="center"/>
              <w:rPr>
                <w:rFonts w:hint="eastAsia" w:ascii="仿宋" w:hAnsi="仿宋" w:eastAsia="仿宋" w:cs="仿宋"/>
                <w:b/>
                <w:bCs/>
              </w:rPr>
            </w:pPr>
            <w:r>
              <w:rPr>
                <w:rFonts w:hint="eastAsia" w:ascii="仿宋" w:hAnsi="仿宋" w:eastAsia="仿宋" w:cs="仿宋"/>
                <w:b/>
                <w:bCs/>
              </w:rPr>
              <w:t>科研启动</w:t>
            </w:r>
          </w:p>
          <w:p>
            <w:pPr>
              <w:jc w:val="center"/>
              <w:rPr>
                <w:rFonts w:hint="eastAsia" w:ascii="仿宋" w:hAnsi="仿宋" w:eastAsia="仿宋" w:cs="仿宋"/>
                <w:b/>
                <w:bCs/>
              </w:rPr>
            </w:pPr>
            <w:r>
              <w:rPr>
                <w:rFonts w:hint="eastAsia" w:ascii="仿宋" w:hAnsi="仿宋" w:eastAsia="仿宋" w:cs="仿宋"/>
                <w:b/>
                <w:bCs/>
              </w:rPr>
              <w:t>经费</w:t>
            </w:r>
          </w:p>
        </w:tc>
        <w:tc>
          <w:tcPr>
            <w:tcW w:w="2079" w:type="dxa"/>
            <w:vAlign w:val="center"/>
          </w:tcPr>
          <w:p>
            <w:pPr>
              <w:jc w:val="center"/>
              <w:rPr>
                <w:rFonts w:hint="eastAsia" w:ascii="仿宋" w:hAnsi="仿宋" w:eastAsia="仿宋" w:cs="仿宋"/>
                <w:b/>
                <w:bCs/>
              </w:rPr>
            </w:pPr>
            <w:r>
              <w:rPr>
                <w:rFonts w:hint="eastAsia" w:ascii="仿宋" w:hAnsi="仿宋" w:eastAsia="仿宋" w:cs="仿宋"/>
                <w:b/>
                <w:bCs/>
              </w:rPr>
              <w:t>租房补贴</w:t>
            </w:r>
          </w:p>
          <w:p>
            <w:pPr>
              <w:jc w:val="center"/>
              <w:rPr>
                <w:rFonts w:hint="eastAsia" w:ascii="仿宋" w:hAnsi="仿宋" w:eastAsia="仿宋" w:cs="仿宋"/>
                <w:b/>
                <w:bCs/>
              </w:rPr>
            </w:pPr>
            <w:r>
              <w:rPr>
                <w:rFonts w:hint="eastAsia" w:ascii="仿宋" w:hAnsi="仿宋" w:eastAsia="仿宋" w:cs="仿宋"/>
                <w:b/>
                <w:bCs/>
              </w:rPr>
              <w:t>或过渡住房</w:t>
            </w:r>
          </w:p>
        </w:tc>
        <w:tc>
          <w:tcPr>
            <w:tcW w:w="2921" w:type="dxa"/>
            <w:vAlign w:val="center"/>
          </w:tcPr>
          <w:p>
            <w:pPr>
              <w:jc w:val="center"/>
              <w:rPr>
                <w:rFonts w:hint="eastAsia" w:ascii="仿宋" w:hAnsi="仿宋" w:eastAsia="仿宋" w:cs="仿宋"/>
                <w:b/>
                <w:bCs/>
              </w:rPr>
            </w:pPr>
            <w:r>
              <w:rPr>
                <w:rFonts w:hint="eastAsia" w:ascii="仿宋" w:hAnsi="仿宋" w:eastAsia="仿宋" w:cs="仿宋"/>
                <w:b/>
                <w:bCs/>
              </w:rPr>
              <w:t>浮动待遇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123" w:type="dxa"/>
            <w:vAlign w:val="center"/>
          </w:tcPr>
          <w:p>
            <w:pPr>
              <w:rPr>
                <w:rFonts w:hint="eastAsia" w:ascii="仿宋" w:hAnsi="仿宋" w:eastAsia="仿宋" w:cs="仿宋"/>
              </w:rPr>
            </w:pPr>
            <w:r>
              <w:rPr>
                <w:rFonts w:hint="eastAsia" w:ascii="仿宋" w:hAnsi="仿宋" w:eastAsia="仿宋" w:cs="仿宋"/>
              </w:rPr>
              <w:t>第一层次</w:t>
            </w:r>
          </w:p>
        </w:tc>
        <w:tc>
          <w:tcPr>
            <w:tcW w:w="2208" w:type="dxa"/>
            <w:vAlign w:val="center"/>
          </w:tcPr>
          <w:p>
            <w:pPr>
              <w:rPr>
                <w:rFonts w:hint="eastAsia" w:ascii="仿宋" w:hAnsi="仿宋" w:eastAsia="仿宋" w:cs="仿宋"/>
              </w:rPr>
            </w:pPr>
            <w:r>
              <w:rPr>
                <w:rFonts w:hint="eastAsia" w:ascii="仿宋" w:hAnsi="仿宋" w:eastAsia="仿宋" w:cs="仿宋"/>
              </w:rPr>
              <w:t>80-12</w:t>
            </w:r>
            <w:r>
              <w:rPr>
                <w:rFonts w:hint="eastAsia" w:ascii="仿宋" w:hAnsi="仿宋" w:eastAsia="仿宋" w:cs="仿宋"/>
                <w:lang w:val="en-US" w:eastAsia="zh-CN"/>
              </w:rPr>
              <w:t>0</w:t>
            </w:r>
            <w:r>
              <w:rPr>
                <w:rFonts w:hint="eastAsia" w:ascii="仿宋" w:hAnsi="仿宋" w:eastAsia="仿宋" w:cs="仿宋"/>
              </w:rPr>
              <w:t>万元</w:t>
            </w:r>
          </w:p>
        </w:tc>
        <w:tc>
          <w:tcPr>
            <w:tcW w:w="2552" w:type="dxa"/>
            <w:vAlign w:val="center"/>
          </w:tcPr>
          <w:p>
            <w:pPr>
              <w:rPr>
                <w:rFonts w:hint="eastAsia" w:ascii="仿宋" w:hAnsi="仿宋" w:eastAsia="仿宋" w:cs="仿宋"/>
              </w:rPr>
            </w:pPr>
            <w:r>
              <w:rPr>
                <w:rFonts w:hint="eastAsia" w:ascii="仿宋" w:hAnsi="仿宋" w:eastAsia="仿宋" w:cs="仿宋"/>
              </w:rPr>
              <w:t>72万元（其中安家费10万元）</w:t>
            </w:r>
          </w:p>
        </w:tc>
        <w:tc>
          <w:tcPr>
            <w:tcW w:w="2079" w:type="dxa"/>
            <w:vAlign w:val="center"/>
          </w:tcPr>
          <w:p>
            <w:pPr>
              <w:rPr>
                <w:rFonts w:hint="eastAsia" w:ascii="仿宋" w:hAnsi="仿宋" w:eastAsia="仿宋" w:cs="仿宋"/>
              </w:rPr>
            </w:pPr>
            <w:r>
              <w:rPr>
                <w:rFonts w:hint="eastAsia" w:ascii="仿宋" w:hAnsi="仿宋" w:eastAsia="仿宋" w:cs="仿宋"/>
              </w:rPr>
              <w:t>社科：8万元</w:t>
            </w:r>
          </w:p>
          <w:p>
            <w:pPr>
              <w:rPr>
                <w:rFonts w:hint="eastAsia" w:ascii="仿宋" w:hAnsi="仿宋" w:eastAsia="仿宋" w:cs="仿宋"/>
              </w:rPr>
            </w:pPr>
            <w:r>
              <w:rPr>
                <w:rFonts w:hint="eastAsia" w:ascii="仿宋" w:hAnsi="仿宋" w:eastAsia="仿宋" w:cs="仿宋"/>
              </w:rPr>
              <w:t>理工：10万元</w:t>
            </w:r>
          </w:p>
        </w:tc>
        <w:tc>
          <w:tcPr>
            <w:tcW w:w="2079" w:type="dxa"/>
            <w:vMerge w:val="restart"/>
            <w:vAlign w:val="center"/>
          </w:tcPr>
          <w:p>
            <w:pPr>
              <w:rPr>
                <w:rFonts w:hint="eastAsia" w:ascii="仿宋" w:hAnsi="仿宋" w:eastAsia="仿宋" w:cs="仿宋"/>
              </w:rPr>
            </w:pPr>
            <w:r>
              <w:rPr>
                <w:rFonts w:hint="eastAsia" w:ascii="仿宋" w:hAnsi="仿宋" w:eastAsia="仿宋" w:cs="仿宋"/>
              </w:rPr>
              <w:t>1.2万元/年（3年）或三年期过渡住房一套</w:t>
            </w:r>
          </w:p>
        </w:tc>
        <w:tc>
          <w:tcPr>
            <w:tcW w:w="2921" w:type="dxa"/>
            <w:vMerge w:val="restart"/>
            <w:vAlign w:val="center"/>
          </w:tcPr>
          <w:p>
            <w:pPr>
              <w:rPr>
                <w:rFonts w:hint="eastAsia" w:ascii="仿宋" w:hAnsi="仿宋" w:eastAsia="仿宋" w:cs="仿宋"/>
              </w:rPr>
            </w:pPr>
            <w:r>
              <w:rPr>
                <w:rFonts w:hint="eastAsia" w:ascii="仿宋" w:hAnsi="仿宋" w:eastAsia="仿宋" w:cs="仿宋"/>
              </w:rPr>
              <w:t>博士后或有一年以上海外学习进修经历购房补贴上浮5-10万元，入职三年内取得相应科研成果购房补贴最高可以增加30万元。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123" w:type="dxa"/>
            <w:vAlign w:val="center"/>
          </w:tcPr>
          <w:p>
            <w:pPr>
              <w:rPr>
                <w:rFonts w:hint="eastAsia" w:ascii="仿宋" w:hAnsi="仿宋" w:eastAsia="仿宋" w:cs="仿宋"/>
              </w:rPr>
            </w:pPr>
            <w:r>
              <w:rPr>
                <w:rFonts w:hint="eastAsia" w:ascii="仿宋" w:hAnsi="仿宋" w:eastAsia="仿宋" w:cs="仿宋"/>
              </w:rPr>
              <w:t>第二层次</w:t>
            </w:r>
          </w:p>
        </w:tc>
        <w:tc>
          <w:tcPr>
            <w:tcW w:w="2208" w:type="dxa"/>
            <w:vAlign w:val="center"/>
          </w:tcPr>
          <w:p>
            <w:pPr>
              <w:rPr>
                <w:rFonts w:hint="eastAsia" w:ascii="仿宋" w:hAnsi="仿宋" w:eastAsia="仿宋" w:cs="仿宋"/>
              </w:rPr>
            </w:pPr>
            <w:r>
              <w:rPr>
                <w:rFonts w:hint="eastAsia" w:ascii="仿宋" w:hAnsi="仿宋" w:eastAsia="仿宋" w:cs="仿宋"/>
              </w:rPr>
              <w:t>70-11</w:t>
            </w:r>
            <w:r>
              <w:rPr>
                <w:rFonts w:hint="eastAsia" w:ascii="仿宋" w:hAnsi="仿宋" w:eastAsia="仿宋" w:cs="仿宋"/>
                <w:lang w:val="en-US" w:eastAsia="zh-CN"/>
              </w:rPr>
              <w:t>0</w:t>
            </w:r>
            <w:r>
              <w:rPr>
                <w:rFonts w:hint="eastAsia" w:ascii="仿宋" w:hAnsi="仿宋" w:eastAsia="仿宋" w:cs="仿宋"/>
              </w:rPr>
              <w:t>万元</w:t>
            </w:r>
          </w:p>
        </w:tc>
        <w:tc>
          <w:tcPr>
            <w:tcW w:w="2552" w:type="dxa"/>
            <w:vAlign w:val="center"/>
          </w:tcPr>
          <w:p>
            <w:pPr>
              <w:rPr>
                <w:rFonts w:hint="eastAsia" w:ascii="仿宋" w:hAnsi="仿宋" w:eastAsia="仿宋" w:cs="仿宋"/>
              </w:rPr>
            </w:pPr>
            <w:r>
              <w:rPr>
                <w:rFonts w:hint="eastAsia" w:ascii="仿宋" w:hAnsi="仿宋" w:eastAsia="仿宋" w:cs="仿宋"/>
              </w:rPr>
              <w:t>63万元（其中安家费8万元）</w:t>
            </w:r>
          </w:p>
        </w:tc>
        <w:tc>
          <w:tcPr>
            <w:tcW w:w="2079" w:type="dxa"/>
            <w:vAlign w:val="center"/>
          </w:tcPr>
          <w:p>
            <w:pPr>
              <w:rPr>
                <w:rFonts w:hint="eastAsia" w:ascii="仿宋" w:hAnsi="仿宋" w:eastAsia="仿宋" w:cs="仿宋"/>
              </w:rPr>
            </w:pPr>
            <w:r>
              <w:rPr>
                <w:rFonts w:hint="eastAsia" w:ascii="仿宋" w:hAnsi="仿宋" w:eastAsia="仿宋" w:cs="仿宋"/>
              </w:rPr>
              <w:t>社科：7万元</w:t>
            </w:r>
          </w:p>
          <w:p>
            <w:pPr>
              <w:rPr>
                <w:rFonts w:hint="eastAsia" w:ascii="仿宋" w:hAnsi="仿宋" w:eastAsia="仿宋" w:cs="仿宋"/>
              </w:rPr>
            </w:pPr>
            <w:r>
              <w:rPr>
                <w:rFonts w:hint="eastAsia" w:ascii="仿宋" w:hAnsi="仿宋" w:eastAsia="仿宋" w:cs="仿宋"/>
              </w:rPr>
              <w:t>理工：9万元</w:t>
            </w:r>
          </w:p>
        </w:tc>
        <w:tc>
          <w:tcPr>
            <w:tcW w:w="207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firstLine="360" w:firstLineChars="200"/>
              <w:jc w:val="center"/>
              <w:textAlignment w:val="auto"/>
              <w:rPr>
                <w:rFonts w:hint="eastAsia" w:ascii="仿宋" w:hAnsi="仿宋" w:eastAsia="仿宋" w:cs="仿宋"/>
                <w:sz w:val="18"/>
                <w:szCs w:val="18"/>
              </w:rPr>
            </w:pPr>
          </w:p>
        </w:tc>
        <w:tc>
          <w:tcPr>
            <w:tcW w:w="2921"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firstLine="360" w:firstLineChars="200"/>
              <w:jc w:val="center"/>
              <w:textAlignment w:val="auto"/>
              <w:rPr>
                <w:rFonts w:hint="eastAsia" w:ascii="仿宋" w:hAnsi="仿宋" w:eastAsia="仿宋" w:cs="仿宋"/>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123" w:type="dxa"/>
            <w:vAlign w:val="center"/>
          </w:tcPr>
          <w:p>
            <w:pPr>
              <w:rPr>
                <w:rFonts w:hint="eastAsia" w:ascii="仿宋" w:hAnsi="仿宋" w:eastAsia="仿宋" w:cs="仿宋"/>
              </w:rPr>
            </w:pPr>
            <w:r>
              <w:rPr>
                <w:rFonts w:hint="eastAsia" w:ascii="仿宋" w:hAnsi="仿宋" w:eastAsia="仿宋" w:cs="仿宋"/>
              </w:rPr>
              <w:t>第三层次</w:t>
            </w:r>
          </w:p>
        </w:tc>
        <w:tc>
          <w:tcPr>
            <w:tcW w:w="2208" w:type="dxa"/>
            <w:vAlign w:val="center"/>
          </w:tcPr>
          <w:p>
            <w:pPr>
              <w:rPr>
                <w:rFonts w:hint="eastAsia" w:ascii="仿宋" w:hAnsi="仿宋" w:eastAsia="仿宋" w:cs="仿宋"/>
              </w:rPr>
            </w:pPr>
            <w:r>
              <w:rPr>
                <w:rFonts w:hint="eastAsia" w:ascii="仿宋" w:hAnsi="仿宋" w:eastAsia="仿宋" w:cs="仿宋"/>
              </w:rPr>
              <w:t>60-1</w:t>
            </w:r>
            <w:r>
              <w:rPr>
                <w:rFonts w:hint="eastAsia" w:ascii="仿宋" w:hAnsi="仿宋" w:eastAsia="仿宋" w:cs="仿宋"/>
                <w:lang w:val="en-US" w:eastAsia="zh-CN"/>
              </w:rPr>
              <w:t>00</w:t>
            </w:r>
            <w:r>
              <w:rPr>
                <w:rFonts w:hint="eastAsia" w:ascii="仿宋" w:hAnsi="仿宋" w:eastAsia="仿宋" w:cs="仿宋"/>
              </w:rPr>
              <w:t>万元</w:t>
            </w:r>
          </w:p>
        </w:tc>
        <w:tc>
          <w:tcPr>
            <w:tcW w:w="2552" w:type="dxa"/>
            <w:vAlign w:val="center"/>
          </w:tcPr>
          <w:p>
            <w:pPr>
              <w:rPr>
                <w:rFonts w:hint="eastAsia" w:ascii="仿宋" w:hAnsi="仿宋" w:eastAsia="仿宋" w:cs="仿宋"/>
              </w:rPr>
            </w:pPr>
            <w:r>
              <w:rPr>
                <w:rFonts w:hint="eastAsia" w:ascii="仿宋" w:hAnsi="仿宋" w:eastAsia="仿宋" w:cs="仿宋"/>
              </w:rPr>
              <w:t>54万元（其中安家费6万元）</w:t>
            </w:r>
          </w:p>
        </w:tc>
        <w:tc>
          <w:tcPr>
            <w:tcW w:w="2079" w:type="dxa"/>
            <w:vAlign w:val="center"/>
          </w:tcPr>
          <w:p>
            <w:pPr>
              <w:rPr>
                <w:rFonts w:hint="eastAsia" w:ascii="仿宋" w:hAnsi="仿宋" w:eastAsia="仿宋" w:cs="仿宋"/>
              </w:rPr>
            </w:pPr>
            <w:r>
              <w:rPr>
                <w:rFonts w:hint="eastAsia" w:ascii="仿宋" w:hAnsi="仿宋" w:eastAsia="仿宋" w:cs="仿宋"/>
              </w:rPr>
              <w:t>社科：6万元</w:t>
            </w:r>
          </w:p>
          <w:p>
            <w:pPr>
              <w:rPr>
                <w:rFonts w:hint="eastAsia" w:ascii="仿宋" w:hAnsi="仿宋" w:eastAsia="仿宋" w:cs="仿宋"/>
              </w:rPr>
            </w:pPr>
            <w:r>
              <w:rPr>
                <w:rFonts w:hint="eastAsia" w:ascii="仿宋" w:hAnsi="仿宋" w:eastAsia="仿宋" w:cs="仿宋"/>
              </w:rPr>
              <w:t>理工：8万元</w:t>
            </w:r>
          </w:p>
        </w:tc>
        <w:tc>
          <w:tcPr>
            <w:tcW w:w="207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firstLine="360" w:firstLineChars="200"/>
              <w:jc w:val="center"/>
              <w:textAlignment w:val="auto"/>
              <w:rPr>
                <w:rFonts w:hint="eastAsia" w:ascii="仿宋" w:hAnsi="仿宋" w:eastAsia="仿宋" w:cs="仿宋"/>
                <w:sz w:val="18"/>
                <w:szCs w:val="18"/>
              </w:rPr>
            </w:pPr>
          </w:p>
        </w:tc>
        <w:tc>
          <w:tcPr>
            <w:tcW w:w="2921"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firstLine="360" w:firstLineChars="200"/>
              <w:jc w:val="center"/>
              <w:textAlignment w:val="auto"/>
              <w:rPr>
                <w:rFonts w:hint="eastAsia" w:ascii="仿宋" w:hAnsi="仿宋" w:eastAsia="仿宋" w:cs="仿宋"/>
                <w:sz w:val="18"/>
                <w:szCs w:val="18"/>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其它待遇：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1.博士享受副教授绩效待遇3年，优秀博士后享受教授绩效待遇3年。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2.提供有竞争力的教学科研奖励配套政策。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3.优秀博士可采取龙湖学者方式聘任，特别优秀的博士待遇面议。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4.根据学校有关文件，依据个人条件解决配偶工作问题，为博士子女入学提供支持。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5.紧缺专业博士会计学（含财务管理、审计）、金融学（含保险、金融工程）上浮一个层次提供待遇，博士后或有一年以上海外学习进修经历，根据其实际情况，在原有购房补贴基础上浮5-10万元。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30"/>
          <w:szCs w:val="30"/>
        </w:rPr>
      </w:pPr>
      <w:r>
        <w:rPr>
          <w:rFonts w:hint="eastAsia" w:ascii="仿宋" w:hAnsi="仿宋" w:eastAsia="仿宋" w:cs="仿宋"/>
          <w:sz w:val="28"/>
          <w:szCs w:val="28"/>
        </w:rPr>
        <w:t>6.入职三年内，在校定A+级期刊发表论文1篇，增加购房补贴10万元；在A级期刊发表论文1篇，或者申报立项A级纵向科研项目1项，增加购房补贴6万元（其中SCI/SSCI 二区3万元）；在B级期刊发表论文1篇，增加购房补贴2万元（其中SCI/SSCI 三区1万元）；在C级期刊发表论文2篇以上，每篇增加购房补贴6000元。购房补贴增加总额不超过30万元，学校科研超工作量正常发放，年薪制（协议工资）、龙湖学者作为目标任务的科研成果不享受该项政策。以上论文成果SCI、SSCI和EI来源期刊须是第一作者或通讯作者，其它成果均须为第一作者或主持人。</w:t>
      </w:r>
    </w:p>
    <w:sectPr>
      <w:pgSz w:w="11906" w:h="16838"/>
      <w:pgMar w:top="850" w:right="1531" w:bottom="85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F6"/>
    <w:rsid w:val="00011CCB"/>
    <w:rsid w:val="00066DC7"/>
    <w:rsid w:val="000E14DC"/>
    <w:rsid w:val="00101001"/>
    <w:rsid w:val="00185905"/>
    <w:rsid w:val="001B16C8"/>
    <w:rsid w:val="001C52C1"/>
    <w:rsid w:val="001E06F6"/>
    <w:rsid w:val="00290870"/>
    <w:rsid w:val="002A197A"/>
    <w:rsid w:val="003017BB"/>
    <w:rsid w:val="00327917"/>
    <w:rsid w:val="00356600"/>
    <w:rsid w:val="003A0DC8"/>
    <w:rsid w:val="003C1490"/>
    <w:rsid w:val="003F042F"/>
    <w:rsid w:val="003F053A"/>
    <w:rsid w:val="003F1373"/>
    <w:rsid w:val="00436D45"/>
    <w:rsid w:val="004837D2"/>
    <w:rsid w:val="005500DE"/>
    <w:rsid w:val="0056752E"/>
    <w:rsid w:val="0059056E"/>
    <w:rsid w:val="006607A9"/>
    <w:rsid w:val="006725E8"/>
    <w:rsid w:val="00693109"/>
    <w:rsid w:val="006B15D3"/>
    <w:rsid w:val="0077613F"/>
    <w:rsid w:val="007900D3"/>
    <w:rsid w:val="007936B7"/>
    <w:rsid w:val="007D1CF6"/>
    <w:rsid w:val="007D4E24"/>
    <w:rsid w:val="00812965"/>
    <w:rsid w:val="00820C47"/>
    <w:rsid w:val="00875D98"/>
    <w:rsid w:val="00936768"/>
    <w:rsid w:val="00A02082"/>
    <w:rsid w:val="00A42BFE"/>
    <w:rsid w:val="00AD745F"/>
    <w:rsid w:val="00B943A1"/>
    <w:rsid w:val="00BC40CF"/>
    <w:rsid w:val="00C37FAA"/>
    <w:rsid w:val="00C67D48"/>
    <w:rsid w:val="00D022F8"/>
    <w:rsid w:val="00D13ACA"/>
    <w:rsid w:val="00D64E4F"/>
    <w:rsid w:val="00DE3466"/>
    <w:rsid w:val="00E42986"/>
    <w:rsid w:val="00E75083"/>
    <w:rsid w:val="00E91A78"/>
    <w:rsid w:val="00ED1796"/>
    <w:rsid w:val="00EE70CC"/>
    <w:rsid w:val="00F818EC"/>
    <w:rsid w:val="013A3562"/>
    <w:rsid w:val="2355674E"/>
    <w:rsid w:val="50EE1DE1"/>
    <w:rsid w:val="5FD32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71</Words>
  <Characters>407</Characters>
  <Lines>3</Lines>
  <Paragraphs>1</Paragraphs>
  <TotalTime>16</TotalTime>
  <ScaleCrop>false</ScaleCrop>
  <LinksUpToDate>false</LinksUpToDate>
  <CharactersWithSpaces>477</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2020-10-27T03:25:00Z</dcterms:created>
  <dc:creator>胡尊亮</dc:creator>
  <cp:lastModifiedBy>Loong.W</cp:lastModifiedBy>
  <cp:lastPrinted>2020-11-03T04:35:00Z</cp:lastPrinted>
  <dcterms:modified xsi:type="dcterms:W3CDTF">2020-11-16T08:00:40Z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