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both"/>
        <w:rPr>
          <w:rFonts w:hint="eastAsia" w:ascii="华文中宋" w:hAnsi="华文中宋" w:eastAsia="华文中宋" w:cs="Times New Roman"/>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附件2 </w:t>
      </w:r>
      <w:r>
        <w:rPr>
          <w:rFonts w:hint="eastAsia" w:ascii="华文中宋" w:hAnsi="华文中宋" w:eastAsia="华文中宋" w:cs="Times New Roman"/>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华文中宋" w:hAnsi="华文中宋" w:eastAsia="华文中宋" w:cs="Times New Roman"/>
          <w:color w:val="000000" w:themeColor="text1"/>
          <w:sz w:val="32"/>
          <w:szCs w:val="32"/>
          <w:lang w:val="en-US" w:eastAsia="zh-CN"/>
          <w14:textFill>
            <w14:solidFill>
              <w14:schemeClr w14:val="tx1"/>
            </w14:solidFill>
          </w14:textFill>
        </w:rPr>
        <w:t xml:space="preserve">  太原理工大学</w:t>
      </w:r>
    </w:p>
    <w:p>
      <w:pPr>
        <w:widowControl/>
        <w:shd w:val="clear" w:color="auto" w:fill="FFFFFF"/>
        <w:spacing w:line="360" w:lineRule="auto"/>
        <w:jc w:val="center"/>
        <w:rPr>
          <w:rFonts w:ascii="华文中宋" w:hAnsi="华文中宋" w:eastAsia="华文中宋" w:cs="Times New Roman"/>
          <w:color w:val="000000" w:themeColor="text1"/>
          <w:sz w:val="32"/>
          <w:szCs w:val="32"/>
          <w14:textFill>
            <w14:solidFill>
              <w14:schemeClr w14:val="tx1"/>
            </w14:solidFill>
          </w14:textFill>
        </w:rPr>
      </w:pPr>
      <w:r>
        <w:rPr>
          <w:rFonts w:hint="eastAsia" w:ascii="华文中宋" w:hAnsi="华文中宋" w:eastAsia="华文中宋" w:cs="Times New Roman"/>
          <w:color w:val="000000" w:themeColor="text1"/>
          <w:sz w:val="32"/>
          <w:szCs w:val="32"/>
          <w:lang w:val="en-US" w:eastAsia="zh-CN"/>
          <w14:textFill>
            <w14:solidFill>
              <w14:schemeClr w14:val="tx1"/>
            </w14:solidFill>
          </w14:textFill>
        </w:rPr>
        <w:t>公开</w:t>
      </w:r>
      <w:r>
        <w:rPr>
          <w:rFonts w:hint="eastAsia" w:ascii="华文中宋" w:hAnsi="华文中宋" w:eastAsia="华文中宋" w:cs="Times New Roman"/>
          <w:color w:val="000000" w:themeColor="text1"/>
          <w:sz w:val="32"/>
          <w:szCs w:val="32"/>
          <w14:textFill>
            <w14:solidFill>
              <w14:schemeClr w14:val="tx1"/>
            </w14:solidFill>
          </w14:textFill>
        </w:rPr>
        <w:t>招聘</w:t>
      </w:r>
      <w:r>
        <w:rPr>
          <w:rFonts w:ascii="华文中宋" w:hAnsi="华文中宋" w:eastAsia="华文中宋" w:cs="Times New Roman"/>
          <w:color w:val="000000" w:themeColor="text1"/>
          <w:sz w:val="32"/>
          <w:szCs w:val="32"/>
          <w14:textFill>
            <w14:solidFill>
              <w14:schemeClr w14:val="tx1"/>
            </w14:solidFill>
          </w14:textFill>
        </w:rPr>
        <w:t>省部共建煤基能源清洁高效利用</w:t>
      </w:r>
    </w:p>
    <w:p>
      <w:pPr>
        <w:widowControl/>
        <w:shd w:val="clear" w:color="auto" w:fill="FFFFFF"/>
        <w:spacing w:line="360" w:lineRule="auto"/>
        <w:jc w:val="center"/>
        <w:rPr>
          <w:rFonts w:hint="default" w:ascii="华文中宋" w:hAnsi="华文中宋" w:eastAsia="华文中宋" w:cs="Times New Roman"/>
          <w:color w:val="000000" w:themeColor="text1"/>
          <w:sz w:val="32"/>
          <w:szCs w:val="32"/>
          <w:lang w:val="en-US" w:eastAsia="zh-CN"/>
          <w14:textFill>
            <w14:solidFill>
              <w14:schemeClr w14:val="tx1"/>
            </w14:solidFill>
          </w14:textFill>
        </w:rPr>
      </w:pPr>
      <w:r>
        <w:rPr>
          <w:rFonts w:ascii="华文中宋" w:hAnsi="华文中宋" w:eastAsia="华文中宋" w:cs="Times New Roman"/>
          <w:color w:val="000000" w:themeColor="text1"/>
          <w:sz w:val="32"/>
          <w:szCs w:val="32"/>
          <w14:textFill>
            <w14:solidFill>
              <w14:schemeClr w14:val="tx1"/>
            </w14:solidFill>
          </w14:textFill>
        </w:rPr>
        <w:t>国家重点实验室</w:t>
      </w:r>
      <w:r>
        <w:rPr>
          <w:rFonts w:hint="eastAsia" w:ascii="华文中宋" w:hAnsi="华文中宋" w:eastAsia="华文中宋" w:cs="Times New Roman"/>
          <w:color w:val="000000" w:themeColor="text1"/>
          <w:sz w:val="32"/>
          <w:szCs w:val="32"/>
          <w:lang w:val="en-US" w:eastAsia="zh-CN"/>
          <w14:textFill>
            <w14:solidFill>
              <w14:schemeClr w14:val="tx1"/>
            </w14:solidFill>
          </w14:textFill>
        </w:rPr>
        <w:t>主任启事</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太原理工大学“省部共建煤基能源清洁高效利用国家重点实验”组建于1985年，1997年批准为山西省首批重点实验室，2010年批准组建省部共建国家重点实验室培育基地。</w:t>
      </w:r>
      <w:r>
        <w:rPr>
          <w:rFonts w:hint="eastAsia" w:ascii="仿宋" w:hAnsi="仿宋" w:eastAsia="仿宋" w:cs="仿宋"/>
          <w:sz w:val="30"/>
          <w:szCs w:val="30"/>
        </w:rPr>
        <w:t>实验室紧密围绕世界能源低碳化趋势以及我国相对富煤、缺油、少气的化石能源禀赋特点，结合国家中长期科技发展战略和山西省地方经济社会转型发展的重大需求，瞄准能源（煤炭）领域的前沿课题</w:t>
      </w:r>
      <w:r>
        <w:rPr>
          <w:rFonts w:hint="eastAsia" w:ascii="仿宋" w:hAnsi="仿宋" w:eastAsia="仿宋" w:cs="仿宋"/>
          <w:color w:val="000000"/>
          <w:kern w:val="0"/>
          <w:sz w:val="30"/>
          <w:szCs w:val="30"/>
        </w:rPr>
        <w:t>，围绕煤基资源绿色智能开采、煤结构与反应性科学基础、煤高效转化燃料及化学品以及煤化工过程节能与减排、煤炭清洁高效利用发展战略等主要研究方向开展研究，形成了鲜明的煤炭能源资源清洁高效转化利用研究特色。</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rPr>
        <w:t>实验室目前拥有以中国工程院院士、美国工程院外籍院士谢克昌教授领衔，杰青、长江、优青等高层次人才为梯队的高水平研究队伍。是在国内外有重要影响力的高水平科学研究、高新技术开发和人才培养基地和国际煤化工领域最活跃的五个研究机构之一。现根据《国家重点实验室建设与管理暂行办法》的有关规定，面向国内外公开招聘</w:t>
      </w:r>
      <w:r>
        <w:rPr>
          <w:rFonts w:hint="eastAsia" w:ascii="仿宋" w:hAnsi="仿宋" w:eastAsia="仿宋" w:cs="仿宋"/>
          <w:b/>
          <w:bCs/>
          <w:color w:val="000000"/>
          <w:kern w:val="0"/>
          <w:sz w:val="30"/>
          <w:szCs w:val="30"/>
        </w:rPr>
        <w:t>实验主任1名和高层次人才若干</w:t>
      </w:r>
      <w:r>
        <w:rPr>
          <w:rFonts w:hint="eastAsia" w:ascii="仿宋" w:hAnsi="仿宋" w:eastAsia="仿宋" w:cs="仿宋"/>
          <w:color w:val="000000"/>
          <w:kern w:val="0"/>
          <w:sz w:val="30"/>
          <w:szCs w:val="30"/>
        </w:rPr>
        <w:t>。</w:t>
      </w:r>
    </w:p>
    <w:p>
      <w:pPr>
        <w:widowControl/>
        <w:shd w:val="clear" w:color="auto" w:fill="FFFFFF"/>
        <w:adjustRightInd w:val="0"/>
        <w:snapToGrid w:val="0"/>
        <w:spacing w:line="560" w:lineRule="exact"/>
        <w:ind w:firstLine="588" w:firstLineChars="196"/>
        <w:contextualSpacing/>
        <w:rPr>
          <w:rFonts w:hint="eastAsia" w:ascii="黑体" w:hAnsi="黑体" w:eastAsia="黑体" w:cs="黑体"/>
          <w:color w:val="333333"/>
          <w:kern w:val="0"/>
          <w:sz w:val="30"/>
          <w:szCs w:val="30"/>
        </w:rPr>
      </w:pPr>
      <w:r>
        <w:rPr>
          <w:rFonts w:hint="eastAsia" w:ascii="黑体" w:hAnsi="黑体" w:eastAsia="黑体" w:cs="黑体"/>
          <w:bCs/>
          <w:color w:val="000000"/>
          <w:kern w:val="0"/>
          <w:sz w:val="30"/>
          <w:szCs w:val="30"/>
        </w:rPr>
        <w:t>一、任职条件</w:t>
      </w:r>
    </w:p>
    <w:p>
      <w:pPr>
        <w:widowControl/>
        <w:shd w:val="clear" w:color="auto" w:fill="FFFFFF"/>
        <w:adjustRightInd w:val="0"/>
        <w:snapToGrid w:val="0"/>
        <w:spacing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（一）实验室主任：</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1、热爱祖国，科学道德高尚，学风严谨，为人正派；</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2、身体健康，年龄一般不超过55周岁（最大不超过57岁），具有正高级专业技术职务和博士学位，或海（境）外高水平研究机构具有3年及以上副教授（副研究员）职称的人员，两院院士年龄可</w:t>
      </w:r>
      <w:r>
        <w:rPr>
          <w:rFonts w:hint="eastAsia" w:ascii="仿宋" w:hAnsi="仿宋" w:eastAsia="仿宋" w:cs="仿宋"/>
          <w:color w:val="000000"/>
          <w:kern w:val="0"/>
          <w:sz w:val="30"/>
          <w:szCs w:val="30"/>
          <w:lang w:val="en-US" w:eastAsia="zh-CN"/>
        </w:rPr>
        <w:t>再</w:t>
      </w:r>
      <w:r>
        <w:rPr>
          <w:rFonts w:hint="eastAsia" w:ascii="仿宋" w:hAnsi="仿宋" w:eastAsia="仿宋" w:cs="仿宋"/>
          <w:color w:val="000000"/>
          <w:kern w:val="0"/>
          <w:sz w:val="30"/>
          <w:szCs w:val="30"/>
        </w:rPr>
        <w:t>适当放宽；</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3、具有化学工程与技术以及相关学科专业背景，在国内外学术界具有重要影响和公认的高水平学术成果；</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333333"/>
          <w:kern w:val="0"/>
          <w:sz w:val="30"/>
          <w:szCs w:val="30"/>
        </w:rPr>
      </w:pPr>
      <w:r>
        <w:rPr>
          <w:rFonts w:hint="eastAsia" w:ascii="仿宋" w:hAnsi="仿宋" w:eastAsia="仿宋" w:cs="仿宋"/>
          <w:color w:val="000000"/>
          <w:kern w:val="0"/>
          <w:sz w:val="30"/>
          <w:szCs w:val="30"/>
        </w:rPr>
        <w:t>4、具有开阔的战略视野，对实验室的建设具有创新性思维和战略性构想，以及在相关研究领域具有保持或赶超国际先进水平的能力；</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5、具有先进的管理理念和较强的领导能力，有重点实验室或其它高水平科研机构的管理经历，能带领实验室获得高水平创新成果；</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6、一般应全职</w:t>
      </w:r>
      <w:r>
        <w:rPr>
          <w:rFonts w:hint="eastAsia" w:ascii="仿宋" w:hAnsi="仿宋" w:eastAsia="仿宋" w:cs="仿宋"/>
          <w:color w:val="000000"/>
          <w:kern w:val="0"/>
          <w:sz w:val="30"/>
          <w:szCs w:val="30"/>
          <w:lang w:val="en-US" w:eastAsia="zh-CN"/>
        </w:rPr>
        <w:t>来校工作</w:t>
      </w:r>
      <w:r>
        <w:rPr>
          <w:rFonts w:hint="eastAsia" w:ascii="仿宋" w:hAnsi="仿宋" w:eastAsia="仿宋" w:cs="仿宋"/>
          <w:color w:val="000000"/>
          <w:kern w:val="0"/>
          <w:sz w:val="30"/>
          <w:szCs w:val="30"/>
        </w:rPr>
        <w:t>。</w:t>
      </w:r>
    </w:p>
    <w:p>
      <w:pPr>
        <w:widowControl/>
        <w:shd w:val="clear" w:color="auto" w:fill="FFFFFF"/>
        <w:adjustRightInd w:val="0"/>
        <w:snapToGrid w:val="0"/>
        <w:spacing w:before="75" w:after="75"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（二）高层次人才</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1、热爱祖国，道德高尚，学风严谨，为人正派，团队协作能力强；</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2、身体健康，年龄一般不超过55岁，具有高级专业技术职称和博士学位；</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3、取得过同行公认的高水平学术成果；</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4、学科方向：化学工程与技术、资源循环科学与工程、材料科学与工程；</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5、研究领域：化学工程与技术、催化与表界面化学、工业污染物处理和资源化技术、能源材料及其应用、新能源科学与工程、工业分析（含大型仪器分析）、系统工程、战略咨询。</w:t>
      </w:r>
    </w:p>
    <w:p>
      <w:pPr>
        <w:widowControl/>
        <w:shd w:val="clear" w:color="auto" w:fill="FFFFFF"/>
        <w:adjustRightInd w:val="0"/>
        <w:snapToGrid w:val="0"/>
        <w:spacing w:line="560" w:lineRule="exact"/>
        <w:ind w:firstLine="588" w:firstLineChars="196"/>
        <w:contextualSpacing/>
        <w:rPr>
          <w:rFonts w:hint="eastAsia" w:ascii="黑体" w:hAnsi="黑体" w:eastAsia="黑体" w:cs="黑体"/>
          <w:bCs/>
          <w:color w:val="000000"/>
          <w:kern w:val="0"/>
          <w:sz w:val="30"/>
          <w:szCs w:val="30"/>
        </w:rPr>
      </w:pPr>
      <w:r>
        <w:rPr>
          <w:rFonts w:hint="eastAsia" w:ascii="黑体" w:hAnsi="黑体" w:eastAsia="黑体" w:cs="黑体"/>
          <w:bCs/>
          <w:color w:val="000000"/>
          <w:kern w:val="0"/>
          <w:sz w:val="30"/>
          <w:szCs w:val="30"/>
        </w:rPr>
        <w:t>二、岗位职责</w:t>
      </w:r>
    </w:p>
    <w:p>
      <w:pPr>
        <w:widowControl/>
        <w:shd w:val="clear" w:color="auto" w:fill="FFFFFF"/>
        <w:adjustRightInd w:val="0"/>
        <w:snapToGrid w:val="0"/>
        <w:spacing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（一）实验室主任</w:t>
      </w:r>
    </w:p>
    <w:p>
      <w:pPr>
        <w:pStyle w:val="6"/>
        <w:shd w:val="clear" w:color="auto" w:fill="FFFFFF"/>
        <w:adjustRightInd w:val="0"/>
        <w:snapToGrid w:val="0"/>
        <w:spacing w:before="0" w:beforeAutospacing="0" w:after="0" w:afterAutospacing="0" w:line="560" w:lineRule="exact"/>
        <w:ind w:firstLine="600" w:firstLineChars="200"/>
        <w:contextualSpacing/>
        <w:jc w:val="both"/>
        <w:rPr>
          <w:rFonts w:hint="eastAsia" w:ascii="仿宋" w:hAnsi="仿宋" w:eastAsia="仿宋" w:cs="仿宋"/>
          <w:color w:val="000000"/>
          <w:sz w:val="30"/>
          <w:szCs w:val="30"/>
        </w:rPr>
      </w:pPr>
      <w:r>
        <w:rPr>
          <w:rFonts w:hint="eastAsia" w:ascii="仿宋" w:hAnsi="仿宋" w:eastAsia="仿宋" w:cs="仿宋"/>
          <w:color w:val="000000"/>
          <w:sz w:val="30"/>
          <w:szCs w:val="30"/>
        </w:rPr>
        <w:t>1、全面负责实验室日常业务和行政管理；</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sz w:val="30"/>
          <w:szCs w:val="30"/>
        </w:rPr>
        <w:t>围绕国家重点实验室定位和科技创新总体目标，谋划实验室的科技发展战略，全面负责实验室发展建设规划并组织实施；</w:t>
      </w:r>
    </w:p>
    <w:p>
      <w:pPr>
        <w:pStyle w:val="6"/>
        <w:shd w:val="clear" w:color="auto" w:fill="FFFFFF"/>
        <w:adjustRightInd w:val="0"/>
        <w:snapToGrid w:val="0"/>
        <w:spacing w:before="0" w:beforeAutospacing="0" w:after="0" w:afterAutospacing="0" w:line="560" w:lineRule="exact"/>
        <w:ind w:firstLine="600" w:firstLineChars="200"/>
        <w:contextualSpacing/>
        <w:jc w:val="both"/>
        <w:rPr>
          <w:rFonts w:hint="eastAsia" w:ascii="仿宋" w:hAnsi="仿宋" w:eastAsia="仿宋" w:cs="仿宋"/>
          <w:color w:val="000000"/>
          <w:sz w:val="30"/>
          <w:szCs w:val="30"/>
        </w:rPr>
      </w:pPr>
      <w:r>
        <w:rPr>
          <w:rFonts w:hint="eastAsia" w:ascii="仿宋" w:hAnsi="仿宋" w:eastAsia="仿宋" w:cs="仿宋"/>
          <w:color w:val="000000"/>
          <w:sz w:val="30"/>
          <w:szCs w:val="30"/>
        </w:rPr>
        <w:t>3、在队伍建设、完成国家重大科研项目、获得高水平创新成果方面产生标志性成果；</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4、每届聘期5年，连聘不超过两届。</w:t>
      </w:r>
    </w:p>
    <w:p>
      <w:pPr>
        <w:widowControl/>
        <w:shd w:val="clear" w:color="auto" w:fill="FFFFFF"/>
        <w:adjustRightInd w:val="0"/>
        <w:snapToGrid w:val="0"/>
        <w:spacing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（二）高层次人才</w:t>
      </w:r>
    </w:p>
    <w:p>
      <w:pPr>
        <w:pStyle w:val="6"/>
        <w:shd w:val="clear" w:color="auto" w:fill="FFFFFF"/>
        <w:adjustRightInd w:val="0"/>
        <w:snapToGrid w:val="0"/>
        <w:spacing w:before="0" w:beforeAutospacing="0" w:after="0" w:afterAutospacing="0" w:line="560" w:lineRule="exact"/>
        <w:ind w:firstLine="600" w:firstLineChars="200"/>
        <w:contextualSpacing/>
        <w:jc w:val="both"/>
        <w:rPr>
          <w:rFonts w:hint="eastAsia" w:ascii="仿宋" w:hAnsi="仿宋" w:eastAsia="仿宋" w:cs="仿宋"/>
          <w:color w:val="000000"/>
          <w:sz w:val="30"/>
          <w:szCs w:val="30"/>
        </w:rPr>
      </w:pPr>
      <w:r>
        <w:rPr>
          <w:rFonts w:hint="eastAsia" w:ascii="仿宋" w:hAnsi="仿宋" w:eastAsia="仿宋" w:cs="仿宋"/>
          <w:color w:val="000000"/>
          <w:sz w:val="30"/>
          <w:szCs w:val="30"/>
        </w:rPr>
        <w:t>在基础研究和工程化研究方面开展工作，产出高水平创新成果。</w:t>
      </w:r>
    </w:p>
    <w:p>
      <w:pPr>
        <w:widowControl/>
        <w:shd w:val="clear" w:color="auto" w:fill="FFFFFF"/>
        <w:adjustRightInd w:val="0"/>
        <w:snapToGrid w:val="0"/>
        <w:spacing w:line="560" w:lineRule="exact"/>
        <w:ind w:firstLine="588" w:firstLineChars="196"/>
        <w:contextualSpacing/>
        <w:rPr>
          <w:rFonts w:hint="eastAsia" w:ascii="黑体" w:hAnsi="黑体" w:eastAsia="黑体" w:cs="黑体"/>
          <w:color w:val="333333"/>
          <w:kern w:val="0"/>
          <w:sz w:val="30"/>
          <w:szCs w:val="30"/>
        </w:rPr>
      </w:pPr>
      <w:r>
        <w:rPr>
          <w:rFonts w:hint="eastAsia" w:ascii="黑体" w:hAnsi="黑体" w:eastAsia="黑体" w:cs="黑体"/>
          <w:bCs/>
          <w:color w:val="000000"/>
          <w:kern w:val="0"/>
          <w:sz w:val="30"/>
          <w:szCs w:val="30"/>
        </w:rPr>
        <w:t>三、工作目标</w:t>
      </w:r>
    </w:p>
    <w:p>
      <w:pPr>
        <w:widowControl/>
        <w:shd w:val="clear" w:color="auto" w:fill="FFFFFF"/>
        <w:adjustRightInd w:val="0"/>
        <w:snapToGrid w:val="0"/>
        <w:spacing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（一）实验室主任</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1、在聘期内组织承担国家重大、重点科技项目，取得一批具有国际先进水平的标志性科技成果（含学术论文与专著、专利、国家和国际科技成果奖励）；</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2、组织推进实验室科学研究平台、技术研发平台和产业化平台的建设，进一步提升实验室基础研究、成果转化、开放和运行水平；</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3、培养和引进一批具有较强学术影响力的学术带头人，构建一支拥有知名学术带头人、学术骨干及优秀技术人员的高水平创新科研团队；</w:t>
      </w:r>
    </w:p>
    <w:p>
      <w:pPr>
        <w:widowControl/>
        <w:shd w:val="clear" w:color="auto" w:fill="FFFFFF"/>
        <w:adjustRightInd w:val="0"/>
        <w:snapToGrid w:val="0"/>
        <w:spacing w:line="560" w:lineRule="exact"/>
        <w:ind w:firstLine="600" w:firstLineChars="200"/>
        <w:contextualSpacing/>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4、促进实验室研究工作跨学科交叉融合，加强实验室与国内外学术机构和同行的学术交流，提升实验室在国内外的知名度。</w:t>
      </w:r>
    </w:p>
    <w:p>
      <w:pPr>
        <w:widowControl/>
        <w:shd w:val="clear" w:color="auto" w:fill="FFFFFF"/>
        <w:adjustRightInd w:val="0"/>
        <w:snapToGrid w:val="0"/>
        <w:spacing w:line="560" w:lineRule="exact"/>
        <w:ind w:firstLine="588" w:firstLineChars="196"/>
        <w:contextualSpacing/>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（二）高层次人才</w:t>
      </w:r>
    </w:p>
    <w:p>
      <w:pPr>
        <w:pStyle w:val="6"/>
        <w:shd w:val="clear" w:color="auto" w:fill="FFFFFF"/>
        <w:adjustRightInd w:val="0"/>
        <w:snapToGrid w:val="0"/>
        <w:spacing w:before="0" w:beforeAutospacing="0" w:after="0" w:afterAutospacing="0" w:line="560" w:lineRule="exact"/>
        <w:ind w:firstLine="600" w:firstLineChars="200"/>
        <w:contextualSpacing/>
        <w:jc w:val="both"/>
        <w:rPr>
          <w:rFonts w:hint="eastAsia" w:ascii="仿宋" w:hAnsi="仿宋" w:eastAsia="仿宋" w:cs="仿宋"/>
          <w:color w:val="000000"/>
          <w:sz w:val="30"/>
          <w:szCs w:val="30"/>
        </w:rPr>
      </w:pPr>
      <w:r>
        <w:rPr>
          <w:rFonts w:hint="eastAsia" w:ascii="仿宋" w:hAnsi="仿宋" w:eastAsia="仿宋" w:cs="仿宋"/>
          <w:color w:val="000000"/>
          <w:sz w:val="30"/>
          <w:szCs w:val="30"/>
        </w:rPr>
        <w:t>在相关研究领域产出高水平创新成果，形成国内有影响力的团队，培养人才梯队。</w:t>
      </w:r>
    </w:p>
    <w:p>
      <w:pPr>
        <w:widowControl/>
        <w:shd w:val="clear" w:color="auto" w:fill="FFFFFF"/>
        <w:adjustRightInd w:val="0"/>
        <w:snapToGrid w:val="0"/>
        <w:spacing w:line="560" w:lineRule="exact"/>
        <w:ind w:firstLine="602" w:firstLineChars="200"/>
        <w:contextualSpacing/>
        <w:rPr>
          <w:rFonts w:hint="eastAsia" w:ascii="仿宋" w:hAnsi="仿宋" w:eastAsia="仿宋" w:cs="仿宋"/>
          <w:b/>
          <w:kern w:val="0"/>
          <w:sz w:val="30"/>
          <w:szCs w:val="30"/>
        </w:rPr>
      </w:pPr>
      <w:r>
        <w:rPr>
          <w:rFonts w:hint="eastAsia" w:ascii="仿宋" w:hAnsi="仿宋" w:eastAsia="仿宋" w:cs="仿宋"/>
          <w:b/>
          <w:kern w:val="0"/>
          <w:sz w:val="30"/>
          <w:szCs w:val="30"/>
        </w:rPr>
        <w:t>注：具体目标任务以协议形式予以明确。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53"/>
    <w:rsid w:val="00007110"/>
    <w:rsid w:val="00013B7C"/>
    <w:rsid w:val="000214DC"/>
    <w:rsid w:val="0004580A"/>
    <w:rsid w:val="00070A8C"/>
    <w:rsid w:val="00076625"/>
    <w:rsid w:val="00083271"/>
    <w:rsid w:val="000873C5"/>
    <w:rsid w:val="0009498E"/>
    <w:rsid w:val="000D4874"/>
    <w:rsid w:val="000E230D"/>
    <w:rsid w:val="0012047D"/>
    <w:rsid w:val="001357AF"/>
    <w:rsid w:val="001568E9"/>
    <w:rsid w:val="001A02A6"/>
    <w:rsid w:val="001B1B91"/>
    <w:rsid w:val="001B5990"/>
    <w:rsid w:val="001B5DEA"/>
    <w:rsid w:val="001D0687"/>
    <w:rsid w:val="001D6F23"/>
    <w:rsid w:val="0021398C"/>
    <w:rsid w:val="00265BDC"/>
    <w:rsid w:val="00292017"/>
    <w:rsid w:val="002B04F9"/>
    <w:rsid w:val="002B6453"/>
    <w:rsid w:val="002E672F"/>
    <w:rsid w:val="00357DAE"/>
    <w:rsid w:val="00362A93"/>
    <w:rsid w:val="00390D51"/>
    <w:rsid w:val="003A2123"/>
    <w:rsid w:val="003C3098"/>
    <w:rsid w:val="003D30E8"/>
    <w:rsid w:val="003D4ABB"/>
    <w:rsid w:val="003F1FB3"/>
    <w:rsid w:val="004150C7"/>
    <w:rsid w:val="00423CB0"/>
    <w:rsid w:val="00457164"/>
    <w:rsid w:val="00477CAC"/>
    <w:rsid w:val="004906E2"/>
    <w:rsid w:val="004C06EE"/>
    <w:rsid w:val="004C5084"/>
    <w:rsid w:val="004F0112"/>
    <w:rsid w:val="0051308A"/>
    <w:rsid w:val="0052539C"/>
    <w:rsid w:val="00543E9B"/>
    <w:rsid w:val="00545F9A"/>
    <w:rsid w:val="00551B02"/>
    <w:rsid w:val="005568C4"/>
    <w:rsid w:val="00586B04"/>
    <w:rsid w:val="005F57BE"/>
    <w:rsid w:val="00606599"/>
    <w:rsid w:val="00612C48"/>
    <w:rsid w:val="00615A54"/>
    <w:rsid w:val="00622A14"/>
    <w:rsid w:val="00627756"/>
    <w:rsid w:val="006316A3"/>
    <w:rsid w:val="00696965"/>
    <w:rsid w:val="006B46E6"/>
    <w:rsid w:val="00715662"/>
    <w:rsid w:val="00715ED9"/>
    <w:rsid w:val="00767B9C"/>
    <w:rsid w:val="007837B4"/>
    <w:rsid w:val="0079602B"/>
    <w:rsid w:val="00827085"/>
    <w:rsid w:val="008531F4"/>
    <w:rsid w:val="008664CD"/>
    <w:rsid w:val="00870FA0"/>
    <w:rsid w:val="00872D5F"/>
    <w:rsid w:val="008D3CB8"/>
    <w:rsid w:val="008F1BA5"/>
    <w:rsid w:val="008F2F8B"/>
    <w:rsid w:val="009331EB"/>
    <w:rsid w:val="0096128A"/>
    <w:rsid w:val="0098136B"/>
    <w:rsid w:val="00990C15"/>
    <w:rsid w:val="009A10E0"/>
    <w:rsid w:val="009E6C1D"/>
    <w:rsid w:val="00A126E8"/>
    <w:rsid w:val="00A43AC0"/>
    <w:rsid w:val="00A45B97"/>
    <w:rsid w:val="00A51897"/>
    <w:rsid w:val="00B138A4"/>
    <w:rsid w:val="00B20F0F"/>
    <w:rsid w:val="00B6724A"/>
    <w:rsid w:val="00B85272"/>
    <w:rsid w:val="00BB0DFF"/>
    <w:rsid w:val="00C005E0"/>
    <w:rsid w:val="00C33593"/>
    <w:rsid w:val="00C33D4B"/>
    <w:rsid w:val="00C61F2C"/>
    <w:rsid w:val="00C658CC"/>
    <w:rsid w:val="00C75304"/>
    <w:rsid w:val="00C83CD6"/>
    <w:rsid w:val="00CA546D"/>
    <w:rsid w:val="00D01766"/>
    <w:rsid w:val="00D200E6"/>
    <w:rsid w:val="00D46CFF"/>
    <w:rsid w:val="00D7198E"/>
    <w:rsid w:val="00D80EED"/>
    <w:rsid w:val="00DB5099"/>
    <w:rsid w:val="00DD1EEC"/>
    <w:rsid w:val="00DE39AE"/>
    <w:rsid w:val="00DE679F"/>
    <w:rsid w:val="00E42E36"/>
    <w:rsid w:val="00E6127A"/>
    <w:rsid w:val="00E7675E"/>
    <w:rsid w:val="00EA59F4"/>
    <w:rsid w:val="00EA7AF9"/>
    <w:rsid w:val="00EB0D36"/>
    <w:rsid w:val="00EF1EA9"/>
    <w:rsid w:val="00EF2F58"/>
    <w:rsid w:val="00F06113"/>
    <w:rsid w:val="00F100AA"/>
    <w:rsid w:val="00F14E33"/>
    <w:rsid w:val="00F150D3"/>
    <w:rsid w:val="00F16E60"/>
    <w:rsid w:val="00F422EE"/>
    <w:rsid w:val="00F74D91"/>
    <w:rsid w:val="00F86956"/>
    <w:rsid w:val="00FB2AF6"/>
    <w:rsid w:val="00FC2A77"/>
    <w:rsid w:val="0216383D"/>
    <w:rsid w:val="080B0FFC"/>
    <w:rsid w:val="0FAB6E07"/>
    <w:rsid w:val="1BFB63A5"/>
    <w:rsid w:val="29920BD8"/>
    <w:rsid w:val="3C584994"/>
    <w:rsid w:val="3FE9459F"/>
    <w:rsid w:val="427B766B"/>
    <w:rsid w:val="440A54F3"/>
    <w:rsid w:val="544517E2"/>
    <w:rsid w:val="6BD771E8"/>
    <w:rsid w:val="70344BA0"/>
    <w:rsid w:val="792D655D"/>
    <w:rsid w:val="7BE9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批注框文本 Char"/>
    <w:basedOn w:val="9"/>
    <w:link w:val="3"/>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9"/>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249</Words>
  <Characters>1421</Characters>
  <Lines>11</Lines>
  <Paragraphs>3</Paragraphs>
  <TotalTime>8</TotalTime>
  <ScaleCrop>false</ScaleCrop>
  <LinksUpToDate>false</LinksUpToDate>
  <CharactersWithSpaces>1667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2021-03-29T07:09:00Z</dcterms:created>
  <dc:creator>Dell</dc:creator>
  <cp:lastModifiedBy>Administrator</cp:lastModifiedBy>
  <cp:lastPrinted>2021-03-31T01:32:00Z</cp:lastPrinted>
  <dcterms:modified xsi:type="dcterms:W3CDTF">2021-04-26T08:03:39Z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37E45872D0884DCE8EEC3D8967942BFA</vt:lpwstr>
  </property>
</Properties>
</file>