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105" w:beforeAutospacing="0" w:after="105" w:afterAutospacing="0" w:line="520" w:lineRule="atLeast"/>
        <w:ind w:left="0" w:right="0" w:firstLine="643"/>
        <w:rPr>
          <w:rFonts w:ascii="微软雅黑" w:hAnsi="微软雅黑" w:eastAsia="微软雅黑" w:cs="微软雅黑"/>
          <w:i w:val="0"/>
          <w:caps w:val="0"/>
          <w:color w:val="343434"/>
          <w:spacing w:val="0"/>
          <w:sz w:val="22"/>
          <w:szCs w:val="22"/>
        </w:rPr>
      </w:pPr>
      <w:r>
        <w:rPr>
          <w:rFonts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招聘岗位、人数及要求</w:t>
      </w:r>
    </w:p>
    <w:tbl>
      <w:tblPr>
        <w:tblW w:w="9065" w:type="dxa"/>
        <w:tblInd w:w="1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6"/>
        <w:gridCol w:w="1425"/>
        <w:gridCol w:w="1067"/>
        <w:gridCol w:w="3462"/>
        <w:gridCol w:w="18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" w:hRule="atLeast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单位名称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设定岗位</w:t>
            </w:r>
          </w:p>
        </w:tc>
        <w:tc>
          <w:tcPr>
            <w:tcW w:w="10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34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岗位要求</w:t>
            </w:r>
          </w:p>
        </w:tc>
        <w:tc>
          <w:tcPr>
            <w:tcW w:w="1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薪酬标准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9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集团总部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水利施工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35周岁以下，全日制本科及以上学历，农业水利工程专业；研究生及以上学历报名者笔试环节可加5分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月工资4000元左右，缴5险1金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3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海潮污水厂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运营管理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35周岁以下，全日制本科及以上学历，环境工程、给排水工程专业。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每月3500元左右，缴5险1金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1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农发公司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（融资方向）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35周岁以下，全日制本科及以上学历，财务类专业，需持有银行相关资格证书。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每月3500元左右，缴5险1金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3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农发公司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投资管理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35周岁以下，全日制本科及以上学历，金融类专业。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kern w:val="0"/>
                <w:sz w:val="21"/>
                <w:szCs w:val="21"/>
                <w:lang w:val="en-US" w:eastAsia="zh-CN" w:bidi="ar"/>
              </w:rPr>
              <w:t>每月3500元左右，缴5险1金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E03D0"/>
    <w:rsid w:val="496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2021-08-10T00:14:00Z</dcterms:created>
  <dc:creator>Administrator</dc:creator>
  <cp:lastModifiedBy>Administrator</cp:lastModifiedBy>
  <dcterms:modified xsi:type="dcterms:W3CDTF">2021-08-10T03:28:41Z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