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ascii="微软雅黑" w:hAnsi="微软雅黑" w:eastAsia="微软雅黑" w:cs="微软雅黑"/>
          <w:i w:val="0"/>
          <w:iCs w:val="0"/>
          <w:caps w:val="0"/>
          <w:color w:val="131313"/>
          <w:spacing w:val="0"/>
          <w:sz w:val="21"/>
          <w:szCs w:val="21"/>
        </w:rPr>
      </w:pPr>
      <w:r>
        <w:rPr>
          <w:rStyle w:val="5"/>
          <w:rFonts w:ascii="仿宋" w:hAnsi="仿宋" w:eastAsia="仿宋" w:cs="仿宋"/>
          <w:i w:val="0"/>
          <w:iCs w:val="0"/>
          <w:caps w:val="0"/>
          <w:color w:val="131313"/>
          <w:spacing w:val="0"/>
          <w:sz w:val="31"/>
          <w:szCs w:val="31"/>
          <w:bdr w:val="none" w:color="auto" w:sz="0" w:space="0"/>
          <w:shd w:val="clear" w:fill="FFFFFF"/>
        </w:rPr>
        <w:t>附件</w:t>
      </w:r>
      <w:r>
        <w:rPr>
          <w:rStyle w:val="5"/>
          <w:rFonts w:hint="eastAsia" w:ascii="仿宋" w:hAnsi="仿宋" w:eastAsia="仿宋" w:cs="仿宋"/>
          <w:i w:val="0"/>
          <w:iCs w:val="0"/>
          <w:caps w:val="0"/>
          <w:color w:val="131313"/>
          <w:spacing w:val="0"/>
          <w:sz w:val="31"/>
          <w:szCs w:val="31"/>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jc w:val="center"/>
        <w:rPr>
          <w:rFonts w:hint="eastAsia" w:ascii="微软雅黑" w:hAnsi="微软雅黑" w:eastAsia="微软雅黑" w:cs="微软雅黑"/>
          <w:i w:val="0"/>
          <w:iCs w:val="0"/>
          <w:caps w:val="0"/>
          <w:color w:val="131313"/>
          <w:spacing w:val="0"/>
          <w:sz w:val="21"/>
          <w:szCs w:val="21"/>
        </w:rPr>
      </w:pPr>
      <w:r>
        <w:rPr>
          <w:rFonts w:ascii="方正小标宋简体" w:hAnsi="方正小标宋简体" w:eastAsia="方正小标宋简体" w:cs="方正小标宋简体"/>
          <w:i w:val="0"/>
          <w:iCs w:val="0"/>
          <w:caps w:val="0"/>
          <w:color w:val="333333"/>
          <w:spacing w:val="0"/>
          <w:sz w:val="43"/>
          <w:szCs w:val="43"/>
          <w:bdr w:val="none" w:color="auto" w:sz="0" w:space="0"/>
          <w:shd w:val="clear" w:fill="FFFFFF"/>
        </w:rPr>
        <w:t>事业单位人事管理回避规定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第一条为规范事业单位人事管理工作，维护人事管理公平公正，根据《事业单位人事管理条例》及有关法律法规，制定本规定。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条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第三条本规定所称事业单位人事管理回避包括岗位回避和履职回避。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第四条事业单位人事管理工作所有参与方以及可能影响公正的特定关系人需要回避的，适用本规定。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事业单位领导人员回避按照本规定执行，法律法规另有规定的，从其规定。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第五条事业单位、主管部门、事业单位人事综合管理部门按照干部人事管理权限，负责事业单位人事管理回避的执行和监督。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第二章 岗位回避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（二）直系血亲关系，包括祖父母、外祖父母、父母、子女、孙子女、外孙子女；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（三）三代以内旁系血亲关系，包括叔伯姑舅姨、兄弟姐妹、堂兄弟姐妹、表兄弟姐妹、侄子女、甥子女；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（五）其他亲属关系，包括养父母子女、形成抚养关系的继父母子女及由此形成的直系血亲、三代以内旁系血亲和近姻亲关系。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前款所称同一事业单位，是指依法登记的同一事业单位法人。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第七条本规定所称直接上下级领导关系包括：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（一）领导班子正职与副职；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（二）同一内设机构正职与副职；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（三）上级正职、副职与下级正职；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（四）单位无内设机构的，其正职、副职与其他管理人员以及从事审计、财务工作的专业技术人员；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（五）内设机构无下一级单位的，其正职、副职与其他管理人员以及从事审计、财务工作的专业技术人员。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第八条事业单位工作人员岗位回避按照以下程序办理：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（一）本人提出回避申请，或者有关单位、人员提出回避要求。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（二）所在单位或者主管部门按照干部人事管理权限在1个月内作出回避决定。作出回避决定前，应当听取需要回避人员及相关人员的意见。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（三）回避决定作出后，及时通知申请人，需要回避的，应当自回避决定作出之日起1个月内调整至相应岗位，并变更或者重新订立聘用合同。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第九条岗位等级不同的一般由岗位等级较低的一方回避；岗位等级相同或者岗位类别不同的，根据工作需要和实际情况决定其中一方回避。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第十条因地域、专业、工作性质特殊等因素，需要灵活执行岗位回避政策的，可由省级以上事业单位人事综合管理部门、中央和国家机关各部门结合实际作出具体规定。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第三章 履职回避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第十一条事业单位工作人员应当回避的履职活动包括：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（一）岗位设置、公开招聘、聘用解聘（任免）、考核考察、奖励、处分、交流、人事争议处理、出国（境）审批；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（二）人事考试、职称评审、人才评价；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（三）招生考试、项目评审、成果评选、资金审批与监管；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（四）其他应当回避的履职活动。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第十二条事业单位工作人员履行第十一条所列职责时，有下列情形之一的，应当回避，不得参加相关调查、考察、讨论、评议、投票、评分、审核、决定等活动，也不得以任何方式施加影响：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（一）涉及本人利害关系的；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（二）涉及与本人有本规定第六条所列亲属关系人员的利害关系的；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（三）其他可能影响公正履行职责的。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第十三条事业单位工作人员履职回避按照以下程序办理：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（一）本人或利害关系人提出回避申请，或者有关单位提出回避要求。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（三）根据回避决定需要回避的，应当自回避决定作出之日起退出相关工作。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回避决定应当及时作出。回避决定作出前，本人可视情况确定是否先行退出相关履职活动。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四条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第四章 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第十五条按照干部人事管理权限应当由事业单位作出或者授权作出回避决定的，特殊情况下，主管部门或者事业单位人事综合管理部门可以直接作出。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第十六条事业单位工作人员必须服从回避决定，无正当理由拒不服从的，视情节轻重依法依规给予组织处理或处分。所在单位、主管部门负责督促回避决定落实到位。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事业单位工作人员应当主动报告应回避的情形。有需要回避的情形不及时报告或者有意隐瞒的，予以批评教育；造成不良后果的，依法依规给予组织处理或处分。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七条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第十八条由于相关人员隐瞒应当回避情形，造成工作结果不公正的，按照国家有关规定取消或者撤销获取的资质、资格、荣誉、奖金、学籍、岗位、项目、资金等。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第十九条事业单位及其主管部门对拟新进人员和拟调整岗位人员，应当依据本规定严格审查把关，避免形成回避关系。对因婚姻、岗位变化等新形成的回避关系，应当及时予以调整。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第二十条对个人、组织据实反映本规定所列各类需要回避情形的，有关单位、部门应当按照干部人事管理权限及时处理。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第二十一条主管部门对所属事业单位实施人事管理工作需要回避的，参照本规定执行，法律法规另有规定的从其规定。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第二十二条机关工勤人员的回避，参照本规定执行。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第二十三条本规定由中共中央组织部、人力资源社会保障部负责解释。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70" w:lineRule="atLeast"/>
        <w:ind w:left="0" w:right="0" w:firstLine="0"/>
        <w:rPr>
          <w:rFonts w:hint="eastAsia" w:ascii="微软雅黑" w:hAnsi="微软雅黑" w:eastAsia="微软雅黑" w:cs="微软雅黑"/>
          <w:i w:val="0"/>
          <w:iCs w:val="0"/>
          <w:caps w:val="0"/>
          <w:color w:val="131313"/>
          <w:spacing w:val="0"/>
          <w:sz w:val="21"/>
          <w:szCs w:val="21"/>
        </w:rPr>
      </w:pPr>
      <w:r>
        <w:rPr>
          <w:rFonts w:hint="eastAsia" w:ascii="仿宋" w:hAnsi="仿宋" w:eastAsia="仿宋" w:cs="仿宋"/>
          <w:i w:val="0"/>
          <w:iCs w:val="0"/>
          <w:caps w:val="0"/>
          <w:color w:val="333333"/>
          <w:spacing w:val="0"/>
          <w:sz w:val="31"/>
          <w:szCs w:val="31"/>
          <w:bdr w:val="none" w:color="auto" w:sz="0" w:space="0"/>
          <w:shd w:val="clear" w:fill="FFFFFF"/>
        </w:rPr>
        <w:t>第二十四条本规定自2020年1月1日起施行。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F81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2021-08-19T09:31:13Z</dcterms:created>
  <dc:creator>Administrator</dc:creator>
  <cp:lastModifiedBy>Administrator</cp:lastModifiedBy>
  <dcterms:modified xsi:type="dcterms:W3CDTF">2021-08-19T09:31:18Z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6FCCC87E14CD4121B01C98E40D0C1F10</vt:lpwstr>
  </property>
</Properties>
</file>