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  <w:t>“双一流”建设高校名单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color w:val="333333"/>
          <w:sz w:val="32"/>
          <w:szCs w:val="32"/>
        </w:rPr>
        <w:t>（按学校代码排序）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Cambria" w:hAnsi="Cambria" w:eastAsia="Cambria" w:cs="Cambria"/>
          <w:b/>
          <w:bCs/>
          <w:color w:val="333333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</w:rPr>
        <w:t>一、一流大学建设高校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42所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1.A类36所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2.B类6所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二、一流学科建设高校95所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864D2"/>
    <w:rsid w:val="162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2021-10-08T07:02:00Z</dcterms:created>
  <dc:creator>時間上的等待</dc:creator>
  <cp:lastModifiedBy>時間上的等待</cp:lastModifiedBy>
  <dcterms:modified xsi:type="dcterms:W3CDTF">2021-10-08T07:03:05Z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A5B1E981003F4FCEA3D5FF19647F1672</vt:lpwstr>
  </property>
</Properties>
</file>