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附件1</w:t>
      </w:r>
    </w:p>
    <w:tbl>
      <w:tblPr>
        <w:tblStyle w:val="6"/>
        <w:tblW w:w="14900" w:type="dxa"/>
        <w:tblInd w:w="93" w:type="dxa"/>
        <w:tblLayout w:type="fixed"/>
        <w:tblCellMar>
          <w:top w:w="0" w:type="dxa"/>
          <w:left w:w="108" w:type="dxa"/>
          <w:bottom w:w="0" w:type="dxa"/>
          <w:right w:w="108" w:type="dxa"/>
        </w:tblCellMar>
      </w:tblPr>
      <w:tblGrid>
        <w:gridCol w:w="866"/>
        <w:gridCol w:w="1294"/>
        <w:gridCol w:w="1080"/>
        <w:gridCol w:w="1080"/>
        <w:gridCol w:w="1354"/>
        <w:gridCol w:w="1342"/>
        <w:gridCol w:w="803"/>
        <w:gridCol w:w="534"/>
        <w:gridCol w:w="1086"/>
        <w:gridCol w:w="1005"/>
        <w:gridCol w:w="1170"/>
        <w:gridCol w:w="3286"/>
      </w:tblGrid>
      <w:tr>
        <w:tblPrEx>
          <w:tblLayout w:type="fixed"/>
          <w:tblCellMar>
            <w:top w:w="0" w:type="dxa"/>
            <w:left w:w="108" w:type="dxa"/>
            <w:bottom w:w="0" w:type="dxa"/>
            <w:right w:w="108" w:type="dxa"/>
          </w:tblCellMar>
        </w:tblPrEx>
        <w:trPr>
          <w:trHeight w:val="450" w:hRule="atLeast"/>
        </w:trPr>
        <w:tc>
          <w:tcPr>
            <w:tcW w:w="14900" w:type="dxa"/>
            <w:gridSpan w:val="12"/>
            <w:tcBorders>
              <w:top w:val="nil"/>
              <w:left w:val="nil"/>
              <w:bottom w:val="nil"/>
              <w:right w:val="nil"/>
            </w:tcBorders>
            <w:shd w:val="clear" w:color="auto" w:fill="auto"/>
            <w:vAlign w:val="center"/>
          </w:tcPr>
          <w:p>
            <w:pPr>
              <w:widowControl/>
              <w:jc w:val="center"/>
              <w:rPr>
                <w:rFonts w:hint="default" w:ascii="Times New Roman" w:hAnsi="Times New Roman" w:eastAsia="方正小标宋简体" w:cs="Times New Roman"/>
                <w:b/>
                <w:bCs/>
                <w:color w:val="000000"/>
                <w:kern w:val="0"/>
                <w:sz w:val="36"/>
                <w:szCs w:val="36"/>
              </w:rPr>
            </w:pPr>
            <w:r>
              <w:rPr>
                <w:rFonts w:hint="default" w:ascii="Times New Roman" w:hAnsi="Times New Roman" w:eastAsia="方正小标宋简体" w:cs="Times New Roman"/>
                <w:b/>
                <w:bCs/>
                <w:color w:val="000000"/>
                <w:kern w:val="0"/>
                <w:sz w:val="36"/>
                <w:szCs w:val="36"/>
              </w:rPr>
              <w:t>南充市中心医院“嘉陵江英才工程”</w:t>
            </w:r>
            <w:r>
              <w:rPr>
                <w:rFonts w:hint="eastAsia" w:eastAsia="方正小标宋简体" w:cs="Times New Roman"/>
                <w:b/>
                <w:bCs/>
                <w:color w:val="000000"/>
                <w:kern w:val="0"/>
                <w:sz w:val="36"/>
                <w:szCs w:val="36"/>
                <w:lang w:eastAsia="zh-CN"/>
              </w:rPr>
              <w:t>（</w:t>
            </w:r>
            <w:r>
              <w:rPr>
                <w:rFonts w:hint="eastAsia" w:eastAsia="方正小标宋简体" w:cs="Times New Roman"/>
                <w:b/>
                <w:bCs/>
                <w:color w:val="000000"/>
                <w:kern w:val="0"/>
                <w:sz w:val="36"/>
                <w:szCs w:val="36"/>
                <w:lang w:val="en-US" w:eastAsia="zh-CN"/>
              </w:rPr>
              <w:t>第二批</w:t>
            </w:r>
            <w:r>
              <w:rPr>
                <w:rFonts w:hint="eastAsia" w:eastAsia="方正小标宋简体" w:cs="Times New Roman"/>
                <w:b/>
                <w:bCs/>
                <w:color w:val="000000"/>
                <w:kern w:val="0"/>
                <w:sz w:val="36"/>
                <w:szCs w:val="36"/>
                <w:lang w:eastAsia="zh-CN"/>
              </w:rPr>
              <w:t>）</w:t>
            </w:r>
            <w:r>
              <w:rPr>
                <w:rFonts w:hint="default" w:ascii="Times New Roman" w:hAnsi="Times New Roman" w:eastAsia="方正小标宋简体" w:cs="Times New Roman"/>
                <w:b/>
                <w:bCs/>
                <w:color w:val="000000"/>
                <w:kern w:val="0"/>
                <w:sz w:val="36"/>
                <w:szCs w:val="36"/>
              </w:rPr>
              <w:t>2021年度引才需求信息表</w:t>
            </w:r>
          </w:p>
        </w:tc>
      </w:tr>
      <w:tr>
        <w:tblPrEx>
          <w:tblLayout w:type="fixed"/>
          <w:tblCellMar>
            <w:top w:w="0" w:type="dxa"/>
            <w:left w:w="108" w:type="dxa"/>
            <w:bottom w:w="0" w:type="dxa"/>
            <w:right w:w="108" w:type="dxa"/>
          </w:tblCellMar>
        </w:tblPrEx>
        <w:trPr>
          <w:trHeight w:val="330" w:hRule="atLeast"/>
        </w:trPr>
        <w:tc>
          <w:tcPr>
            <w:tcW w:w="866" w:type="dxa"/>
            <w:tcBorders>
              <w:top w:val="nil"/>
              <w:left w:val="nil"/>
              <w:bottom w:val="nil"/>
              <w:right w:val="nil"/>
            </w:tcBorders>
            <w:shd w:val="clear" w:color="auto" w:fill="auto"/>
            <w:vAlign w:val="center"/>
          </w:tcPr>
          <w:p>
            <w:pPr>
              <w:widowControl/>
              <w:rPr>
                <w:rFonts w:hint="default" w:ascii="Times New Roman" w:hAnsi="Times New Roman" w:cs="Times New Roman"/>
                <w:b/>
                <w:bCs/>
                <w:color w:val="000000"/>
                <w:kern w:val="0"/>
                <w:sz w:val="24"/>
              </w:rPr>
            </w:pPr>
          </w:p>
        </w:tc>
        <w:tc>
          <w:tcPr>
            <w:tcW w:w="1294"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080"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080"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354"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342"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337" w:type="dxa"/>
            <w:gridSpan w:val="2"/>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086"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005"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1170"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c>
          <w:tcPr>
            <w:tcW w:w="3286"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285" w:hRule="atLeast"/>
        </w:trPr>
        <w:tc>
          <w:tcPr>
            <w:tcW w:w="86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单位名称</w:t>
            </w:r>
          </w:p>
        </w:tc>
        <w:tc>
          <w:tcPr>
            <w:tcW w:w="237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南充市中心医院</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单位</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类别</w:t>
            </w:r>
          </w:p>
        </w:tc>
        <w:tc>
          <w:tcPr>
            <w:tcW w:w="135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事业单位</w:t>
            </w:r>
          </w:p>
        </w:tc>
        <w:tc>
          <w:tcPr>
            <w:tcW w:w="1342" w:type="dxa"/>
            <w:tcBorders>
              <w:top w:val="single" w:color="auto" w:sz="8" w:space="0"/>
              <w:left w:val="nil"/>
              <w:bottom w:val="nil"/>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单位</w:t>
            </w:r>
          </w:p>
        </w:tc>
        <w:tc>
          <w:tcPr>
            <w:tcW w:w="2423" w:type="dxa"/>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color w:val="0000FF"/>
                <w:kern w:val="0"/>
                <w:sz w:val="22"/>
                <w:szCs w:val="22"/>
                <w:u w:val="single"/>
              </w:rPr>
            </w:pPr>
            <w:r>
              <w:rPr>
                <w:rFonts w:hint="default" w:ascii="Times New Roman" w:hAnsi="Times New Roman" w:cs="Times New Roman"/>
                <w:b/>
                <w:bCs/>
                <w:color w:val="000000"/>
                <w:kern w:val="0"/>
                <w:sz w:val="24"/>
              </w:rPr>
              <w:fldChar w:fldCharType="begin"/>
            </w:r>
            <w:r>
              <w:rPr>
                <w:rFonts w:hint="default" w:ascii="Times New Roman" w:hAnsi="Times New Roman" w:cs="Times New Roman"/>
                <w:b/>
                <w:bCs/>
                <w:color w:val="000000"/>
                <w:kern w:val="0"/>
                <w:sz w:val="24"/>
              </w:rPr>
              <w:instrText xml:space="preserve"> HYPERLINK "http://www.nc120.cn/" </w:instrText>
            </w:r>
            <w:r>
              <w:rPr>
                <w:rFonts w:hint="default" w:ascii="Times New Roman" w:hAnsi="Times New Roman" w:cs="Times New Roman"/>
                <w:b/>
                <w:bCs/>
                <w:color w:val="000000"/>
                <w:kern w:val="0"/>
                <w:sz w:val="24"/>
              </w:rPr>
              <w:fldChar w:fldCharType="separate"/>
            </w:r>
            <w:r>
              <w:rPr>
                <w:rFonts w:hint="default" w:ascii="Times New Roman" w:hAnsi="Times New Roman" w:cs="Times New Roman"/>
                <w:b/>
                <w:bCs/>
                <w:color w:val="000000"/>
                <w:kern w:val="0"/>
                <w:sz w:val="24"/>
              </w:rPr>
              <w:t>http://www.nc120.cn</w:t>
            </w:r>
            <w:r>
              <w:rPr>
                <w:rFonts w:hint="default" w:ascii="Times New Roman" w:hAnsi="Times New Roman" w:cs="Times New Roman"/>
                <w:b/>
                <w:bCs/>
                <w:color w:val="000000"/>
                <w:kern w:val="0"/>
                <w:sz w:val="24"/>
              </w:rPr>
              <w:fldChar w:fldCharType="end"/>
            </w:r>
          </w:p>
        </w:tc>
        <w:tc>
          <w:tcPr>
            <w:tcW w:w="1005" w:type="dxa"/>
            <w:vMerge w:val="restart"/>
            <w:tcBorders>
              <w:top w:val="single" w:color="auto" w:sz="8" w:space="0"/>
              <w:left w:val="nil"/>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邮政</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编码</w:t>
            </w:r>
          </w:p>
        </w:tc>
        <w:tc>
          <w:tcPr>
            <w:tcW w:w="4456"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637000</w:t>
            </w:r>
          </w:p>
        </w:tc>
      </w:tr>
      <w:tr>
        <w:tblPrEx>
          <w:tblLayout w:type="fixed"/>
          <w:tblCellMar>
            <w:top w:w="0" w:type="dxa"/>
            <w:left w:w="108" w:type="dxa"/>
            <w:bottom w:w="0" w:type="dxa"/>
            <w:right w:w="108" w:type="dxa"/>
          </w:tblCellMar>
        </w:tblPrEx>
        <w:trPr>
          <w:trHeight w:val="300" w:hRule="atLeast"/>
        </w:trPr>
        <w:tc>
          <w:tcPr>
            <w:tcW w:w="866"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2374" w:type="dxa"/>
            <w:gridSpan w:val="2"/>
            <w:vMerge w:val="continue"/>
            <w:tcBorders>
              <w:top w:val="single" w:color="auto" w:sz="8" w:space="0"/>
              <w:left w:val="single" w:color="auto"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354"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p>
        </w:tc>
        <w:tc>
          <w:tcPr>
            <w:tcW w:w="134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网址</w:t>
            </w:r>
          </w:p>
        </w:tc>
        <w:tc>
          <w:tcPr>
            <w:tcW w:w="2423" w:type="dxa"/>
            <w:gridSpan w:val="3"/>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FF"/>
                <w:kern w:val="0"/>
                <w:sz w:val="22"/>
                <w:szCs w:val="22"/>
                <w:u w:val="single"/>
              </w:rPr>
            </w:pPr>
          </w:p>
        </w:tc>
        <w:tc>
          <w:tcPr>
            <w:tcW w:w="1005" w:type="dxa"/>
            <w:vMerge w:val="continue"/>
            <w:tcBorders>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p>
        </w:tc>
        <w:tc>
          <w:tcPr>
            <w:tcW w:w="4456" w:type="dxa"/>
            <w:gridSpan w:val="2"/>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bCs/>
                <w:color w:val="000000"/>
                <w:kern w:val="0"/>
                <w:sz w:val="24"/>
              </w:rPr>
            </w:pPr>
          </w:p>
        </w:tc>
      </w:tr>
      <w:tr>
        <w:tblPrEx>
          <w:tblLayout w:type="fixed"/>
          <w:tblCellMar>
            <w:top w:w="0" w:type="dxa"/>
            <w:left w:w="108" w:type="dxa"/>
            <w:bottom w:w="0" w:type="dxa"/>
            <w:right w:w="108" w:type="dxa"/>
          </w:tblCellMar>
        </w:tblPrEx>
        <w:trPr>
          <w:trHeight w:val="653" w:hRule="atLeast"/>
        </w:trPr>
        <w:tc>
          <w:tcPr>
            <w:tcW w:w="866" w:type="dxa"/>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联系人</w:t>
            </w:r>
          </w:p>
        </w:tc>
        <w:tc>
          <w:tcPr>
            <w:tcW w:w="2374" w:type="dxa"/>
            <w:gridSpan w:val="2"/>
            <w:tcBorders>
              <w:top w:val="single" w:color="auto" w:sz="8" w:space="0"/>
              <w:left w:val="single" w:color="auto"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lang w:eastAsia="zh-CN"/>
              </w:rPr>
            </w:pPr>
            <w:r>
              <w:rPr>
                <w:rFonts w:hint="default" w:ascii="Times New Roman" w:hAnsi="Times New Roman" w:eastAsia="方正仿宋简体" w:cs="Times New Roman"/>
                <w:b/>
                <w:bCs/>
                <w:color w:val="000000"/>
                <w:kern w:val="0"/>
                <w:sz w:val="24"/>
                <w:lang w:eastAsia="zh-CN"/>
              </w:rPr>
              <w:t>周</w:t>
            </w:r>
            <w:r>
              <w:rPr>
                <w:rFonts w:hint="default" w:ascii="Times New Roman" w:hAnsi="Times New Roman" w:eastAsia="方正仿宋简体" w:cs="Times New Roman"/>
                <w:b/>
                <w:bCs/>
                <w:color w:val="000000"/>
                <w:kern w:val="0"/>
                <w:sz w:val="24"/>
                <w:lang w:val="en-US" w:eastAsia="zh-CN"/>
              </w:rPr>
              <w:t xml:space="preserve"> </w:t>
            </w:r>
            <w:r>
              <w:rPr>
                <w:rFonts w:hint="default" w:ascii="Times New Roman" w:hAnsi="Times New Roman" w:eastAsia="方正仿宋简体" w:cs="Times New Roman"/>
                <w:b/>
                <w:bCs/>
                <w:color w:val="000000"/>
                <w:kern w:val="0"/>
                <w:sz w:val="24"/>
                <w:lang w:eastAsia="zh-CN"/>
              </w:rPr>
              <w:t>娟</w:t>
            </w:r>
          </w:p>
        </w:tc>
        <w:tc>
          <w:tcPr>
            <w:tcW w:w="1080" w:type="dxa"/>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联系</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电话</w:t>
            </w:r>
          </w:p>
        </w:tc>
        <w:tc>
          <w:tcPr>
            <w:tcW w:w="1354" w:type="dxa"/>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0817-2222009</w:t>
            </w:r>
          </w:p>
        </w:tc>
        <w:tc>
          <w:tcPr>
            <w:tcW w:w="1342" w:type="dxa"/>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E-mail</w:t>
            </w:r>
          </w:p>
        </w:tc>
        <w:tc>
          <w:tcPr>
            <w:tcW w:w="2423" w:type="dxa"/>
            <w:gridSpan w:val="3"/>
            <w:tcBorders>
              <w:top w:val="single" w:color="auto" w:sz="8" w:space="0"/>
              <w:left w:val="single" w:color="auto"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ncszxyyrlzyb@sina.com</w:t>
            </w:r>
          </w:p>
        </w:tc>
        <w:tc>
          <w:tcPr>
            <w:tcW w:w="100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通讯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地址</w:t>
            </w:r>
          </w:p>
        </w:tc>
        <w:tc>
          <w:tcPr>
            <w:tcW w:w="4456" w:type="dxa"/>
            <w:gridSpan w:val="2"/>
            <w:tcBorders>
              <w:top w:val="single" w:color="auto" w:sz="8" w:space="0"/>
              <w:left w:val="single" w:color="auto"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四川省南充市顺庆区人民南路97号</w:t>
            </w:r>
          </w:p>
        </w:tc>
      </w:tr>
      <w:tr>
        <w:tblPrEx>
          <w:tblLayout w:type="fixed"/>
          <w:tblCellMar>
            <w:top w:w="0" w:type="dxa"/>
            <w:left w:w="108" w:type="dxa"/>
            <w:bottom w:w="0" w:type="dxa"/>
            <w:right w:w="108" w:type="dxa"/>
          </w:tblCellMar>
        </w:tblPrEx>
        <w:trPr>
          <w:trHeight w:val="1400"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单位简介</w:t>
            </w:r>
          </w:p>
        </w:tc>
        <w:tc>
          <w:tcPr>
            <w:tcW w:w="14034" w:type="dxa"/>
            <w:gridSpan w:val="11"/>
            <w:tcBorders>
              <w:top w:val="single" w:color="auto" w:sz="8" w:space="0"/>
              <w:left w:val="nil"/>
              <w:bottom w:val="single" w:color="auto" w:sz="8" w:space="0"/>
              <w:right w:val="single" w:color="000000" w:sz="8" w:space="0"/>
            </w:tcBorders>
            <w:shd w:val="clear" w:color="auto" w:fill="auto"/>
            <w:vAlign w:val="center"/>
          </w:tcPr>
          <w:p>
            <w:pPr>
              <w:widowControl/>
              <w:ind w:firstLine="402" w:firstLineChars="200"/>
              <w:jc w:val="lef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南充市中心医院由原国家副主席张澜先生于1937年创建，现为集医疗急救、科研教学、康复保健为一体的国家三级甲等综合医院，医疗服务辐射周边地区3000多万人口。现有在职职工3122人（含嘉陵分院），其中高级职称专家530人，博士（后）89人、硕士589人、硕士研究生导师 85人。现有1个本部、2个院区（小龙院区和江东院区）、1个分院（嘉陵分院）、1个社区卫生服务中心（新建社区），编制床位2800张，开放床位2300张，设置临床医技科室42个，行后职能科室22个。</w:t>
            </w:r>
          </w:p>
        </w:tc>
      </w:tr>
      <w:tr>
        <w:tblPrEx>
          <w:tblLayout w:type="fixed"/>
          <w:tblCellMar>
            <w:top w:w="0" w:type="dxa"/>
            <w:left w:w="108" w:type="dxa"/>
            <w:bottom w:w="0" w:type="dxa"/>
            <w:right w:w="108" w:type="dxa"/>
          </w:tblCellMar>
        </w:tblPrEx>
        <w:trPr>
          <w:trHeight w:val="698" w:hRule="atLeast"/>
        </w:trPr>
        <w:tc>
          <w:tcPr>
            <w:tcW w:w="866" w:type="dxa"/>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序号</w:t>
            </w:r>
          </w:p>
        </w:tc>
        <w:tc>
          <w:tcPr>
            <w:tcW w:w="1294" w:type="dxa"/>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引进岗位</w:t>
            </w:r>
          </w:p>
        </w:tc>
        <w:tc>
          <w:tcPr>
            <w:tcW w:w="2160" w:type="dxa"/>
            <w:gridSpan w:val="2"/>
            <w:tcBorders>
              <w:top w:val="single" w:color="auto" w:sz="8" w:space="0"/>
              <w:left w:val="single" w:color="auto" w:sz="8" w:space="0"/>
              <w:bottom w:val="single" w:color="000000"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专业</w:t>
            </w: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职务职称</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要求</w:t>
            </w:r>
          </w:p>
        </w:tc>
        <w:tc>
          <w:tcPr>
            <w:tcW w:w="21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学历学位</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要求</w:t>
            </w:r>
          </w:p>
        </w:tc>
        <w:tc>
          <w:tcPr>
            <w:tcW w:w="1620" w:type="dxa"/>
            <w:gridSpan w:val="2"/>
            <w:tcBorders>
              <w:top w:val="nil"/>
              <w:left w:val="single" w:color="auto" w:sz="4" w:space="0"/>
              <w:bottom w:val="single" w:color="000000"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其他要求</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需求</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人数</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引进</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方式</w:t>
            </w:r>
          </w:p>
        </w:tc>
        <w:tc>
          <w:tcPr>
            <w:tcW w:w="3286" w:type="dxa"/>
            <w:tcBorders>
              <w:top w:val="nil"/>
              <w:left w:val="single" w:color="auto" w:sz="4"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提供薪酬、生活待遇或其他优惠条件</w:t>
            </w:r>
          </w:p>
        </w:tc>
      </w:tr>
      <w:tr>
        <w:tblPrEx>
          <w:tblLayout w:type="fixed"/>
          <w:tblCellMar>
            <w:top w:w="0" w:type="dxa"/>
            <w:left w:w="108" w:type="dxa"/>
            <w:bottom w:w="0" w:type="dxa"/>
            <w:right w:w="108" w:type="dxa"/>
          </w:tblCellMar>
        </w:tblPrEx>
        <w:trPr>
          <w:trHeight w:val="1680" w:hRule="atLeast"/>
        </w:trPr>
        <w:tc>
          <w:tcPr>
            <w:tcW w:w="866"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1</w:t>
            </w:r>
          </w:p>
        </w:tc>
        <w:tc>
          <w:tcPr>
            <w:tcW w:w="1294"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医师、医技管理、科研等岗位</w:t>
            </w:r>
          </w:p>
        </w:tc>
        <w:tc>
          <w:tcPr>
            <w:tcW w:w="2160" w:type="dxa"/>
            <w:gridSpan w:val="2"/>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医学类</w:t>
            </w:r>
          </w:p>
        </w:tc>
        <w:tc>
          <w:tcPr>
            <w:tcW w:w="1354"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c>
          <w:tcPr>
            <w:tcW w:w="2145" w:type="dxa"/>
            <w:gridSpan w:val="2"/>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博士研究生</w:t>
            </w:r>
          </w:p>
        </w:tc>
        <w:tc>
          <w:tcPr>
            <w:tcW w:w="1620" w:type="dxa"/>
            <w:gridSpan w:val="2"/>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年龄不超过45周岁</w:t>
            </w:r>
          </w:p>
        </w:tc>
        <w:tc>
          <w:tcPr>
            <w:tcW w:w="1005"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Times New Roman" w:hAnsi="Times New Roman" w:eastAsia="宋体" w:cs="Times New Roman"/>
                <w:b/>
                <w:bCs/>
                <w:color w:val="000000"/>
                <w:kern w:val="0"/>
                <w:sz w:val="24"/>
                <w:lang w:eastAsia="zh-CN"/>
              </w:rPr>
            </w:pPr>
            <w:r>
              <w:rPr>
                <w:rFonts w:hint="eastAsia" w:cs="Times New Roman"/>
                <w:b/>
                <w:bCs/>
                <w:color w:val="000000"/>
                <w:kern w:val="0"/>
                <w:sz w:val="24"/>
                <w:lang w:val="en-US" w:eastAsia="zh-CN"/>
              </w:rPr>
              <w:t>5</w:t>
            </w:r>
          </w:p>
        </w:tc>
        <w:tc>
          <w:tcPr>
            <w:tcW w:w="1170"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编制内引进</w:t>
            </w:r>
          </w:p>
        </w:tc>
        <w:tc>
          <w:tcPr>
            <w:tcW w:w="3286"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经考察合格后，提供相应的科研或管理职位、提供安家费、科研启动金及帮助解决配偶工作和子女入学等问题</w:t>
            </w:r>
          </w:p>
        </w:tc>
      </w:tr>
      <w:tr>
        <w:tblPrEx>
          <w:tblLayout w:type="fixed"/>
          <w:tblCellMar>
            <w:top w:w="0" w:type="dxa"/>
            <w:left w:w="108" w:type="dxa"/>
            <w:bottom w:w="0" w:type="dxa"/>
            <w:right w:w="108" w:type="dxa"/>
          </w:tblCellMar>
        </w:tblPrEx>
        <w:trPr>
          <w:trHeight w:val="870"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b/>
                <w:bCs/>
                <w:color w:val="000000"/>
                <w:kern w:val="0"/>
                <w:sz w:val="24"/>
                <w:lang w:eastAsia="zh-CN"/>
              </w:rPr>
            </w:pPr>
            <w:r>
              <w:rPr>
                <w:rFonts w:hint="eastAsia" w:cs="Times New Roman"/>
                <w:b/>
                <w:bCs/>
                <w:color w:val="000000"/>
                <w:kern w:val="0"/>
                <w:sz w:val="24"/>
                <w:lang w:val="en-US" w:eastAsia="zh-CN"/>
              </w:rPr>
              <w:t>2</w:t>
            </w:r>
          </w:p>
        </w:tc>
        <w:tc>
          <w:tcPr>
            <w:tcW w:w="129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临床药师</w:t>
            </w:r>
          </w:p>
        </w:tc>
        <w:tc>
          <w:tcPr>
            <w:tcW w:w="2160" w:type="dxa"/>
            <w:gridSpan w:val="2"/>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lang w:val="en-US" w:eastAsia="zh-CN"/>
              </w:rPr>
            </w:pPr>
            <w:r>
              <w:rPr>
                <w:rFonts w:hint="eastAsia" w:eastAsia="方正仿宋简体" w:cs="Times New Roman"/>
                <w:b/>
                <w:bCs/>
                <w:color w:val="000000"/>
                <w:kern w:val="0"/>
                <w:sz w:val="24"/>
                <w:lang w:val="en-US" w:eastAsia="zh-CN"/>
              </w:rPr>
              <w:t>药学类</w:t>
            </w:r>
          </w:p>
        </w:tc>
        <w:tc>
          <w:tcPr>
            <w:tcW w:w="1354"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c>
          <w:tcPr>
            <w:tcW w:w="2145" w:type="dxa"/>
            <w:gridSpan w:val="2"/>
            <w:tcBorders>
              <w:top w:val="nil"/>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硕士研究生及以上</w:t>
            </w:r>
          </w:p>
        </w:tc>
        <w:tc>
          <w:tcPr>
            <w:tcW w:w="1620" w:type="dxa"/>
            <w:gridSpan w:val="2"/>
            <w:tcBorders>
              <w:top w:val="nil"/>
              <w:left w:val="single" w:color="auto" w:sz="4"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年龄不超过40周岁</w:t>
            </w:r>
          </w:p>
        </w:tc>
        <w:tc>
          <w:tcPr>
            <w:tcW w:w="100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Times New Roman" w:hAnsi="Times New Roman" w:eastAsia="宋体" w:cs="Times New Roman"/>
                <w:b/>
                <w:bCs/>
                <w:color w:val="000000"/>
                <w:kern w:val="0"/>
                <w:sz w:val="24"/>
                <w:lang w:eastAsia="zh-CN"/>
              </w:rPr>
            </w:pPr>
            <w:r>
              <w:rPr>
                <w:rFonts w:hint="eastAsia" w:cs="Times New Roman"/>
                <w:b/>
                <w:bCs/>
                <w:color w:val="000000"/>
                <w:kern w:val="0"/>
                <w:sz w:val="24"/>
                <w:lang w:val="en-US" w:eastAsia="zh-CN"/>
              </w:rPr>
              <w:t>1</w:t>
            </w:r>
          </w:p>
        </w:tc>
        <w:tc>
          <w:tcPr>
            <w:tcW w:w="1170" w:type="dxa"/>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编制内引进</w:t>
            </w:r>
          </w:p>
        </w:tc>
        <w:tc>
          <w:tcPr>
            <w:tcW w:w="328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r>
      <w:tr>
        <w:tblPrEx>
          <w:tblLayout w:type="fixed"/>
          <w:tblCellMar>
            <w:top w:w="0" w:type="dxa"/>
            <w:left w:w="108" w:type="dxa"/>
            <w:bottom w:w="0" w:type="dxa"/>
            <w:right w:w="108" w:type="dxa"/>
          </w:tblCellMar>
        </w:tblPrEx>
        <w:trPr>
          <w:trHeight w:val="585"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b/>
                <w:bCs/>
                <w:color w:val="000000"/>
                <w:kern w:val="0"/>
                <w:sz w:val="24"/>
                <w:lang w:eastAsia="zh-CN"/>
              </w:rPr>
            </w:pPr>
            <w:r>
              <w:rPr>
                <w:rFonts w:hint="eastAsia" w:cs="Times New Roman"/>
                <w:b/>
                <w:bCs/>
                <w:color w:val="000000"/>
                <w:kern w:val="0"/>
                <w:sz w:val="24"/>
                <w:lang w:val="en-US" w:eastAsia="zh-CN"/>
              </w:rPr>
              <w:t>3</w:t>
            </w:r>
          </w:p>
        </w:tc>
        <w:tc>
          <w:tcPr>
            <w:tcW w:w="129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护理</w:t>
            </w:r>
          </w:p>
        </w:tc>
        <w:tc>
          <w:tcPr>
            <w:tcW w:w="2160" w:type="dxa"/>
            <w:gridSpan w:val="2"/>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lang w:val="en-US" w:eastAsia="zh-CN"/>
              </w:rPr>
            </w:pPr>
            <w:r>
              <w:rPr>
                <w:rFonts w:hint="eastAsia" w:eastAsia="方正仿宋简体" w:cs="Times New Roman"/>
                <w:b/>
                <w:bCs/>
                <w:color w:val="000000"/>
                <w:kern w:val="0"/>
                <w:sz w:val="24"/>
                <w:lang w:val="en-US" w:eastAsia="zh-CN"/>
              </w:rPr>
              <w:t>护理、护理学</w:t>
            </w:r>
          </w:p>
        </w:tc>
        <w:tc>
          <w:tcPr>
            <w:tcW w:w="1354"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c>
          <w:tcPr>
            <w:tcW w:w="2145" w:type="dxa"/>
            <w:gridSpan w:val="2"/>
            <w:tcBorders>
              <w:top w:val="nil"/>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硕士研究生及以上</w:t>
            </w:r>
          </w:p>
        </w:tc>
        <w:tc>
          <w:tcPr>
            <w:tcW w:w="1620" w:type="dxa"/>
            <w:gridSpan w:val="2"/>
            <w:tcBorders>
              <w:top w:val="nil"/>
              <w:left w:val="single" w:color="auto" w:sz="4"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年龄不超过40周岁</w:t>
            </w:r>
          </w:p>
        </w:tc>
        <w:tc>
          <w:tcPr>
            <w:tcW w:w="100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1</w:t>
            </w:r>
          </w:p>
        </w:tc>
        <w:tc>
          <w:tcPr>
            <w:tcW w:w="1170" w:type="dxa"/>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编制内引进</w:t>
            </w:r>
          </w:p>
        </w:tc>
        <w:tc>
          <w:tcPr>
            <w:tcW w:w="328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　</w:t>
            </w:r>
          </w:p>
        </w:tc>
      </w:tr>
    </w:tbl>
    <w:p>
      <w:pPr>
        <w:spacing w:line="480" w:lineRule="exact"/>
        <w:ind w:right="840" w:rightChars="400"/>
        <w:rPr>
          <w:rFonts w:ascii="仿宋" w:hAnsi="仿宋" w:eastAsia="仿宋"/>
          <w:bCs/>
          <w:sz w:val="32"/>
          <w:szCs w:val="32"/>
        </w:rPr>
        <w:sectPr>
          <w:pgSz w:w="16838" w:h="11906" w:orient="landscape"/>
          <w:pgMar w:top="1474" w:right="1701" w:bottom="1588" w:left="1418" w:header="851" w:footer="794" w:gutter="0"/>
          <w:pgNumType w:fmt="numberInDash" w:chapStyle="1"/>
          <w:cols w:space="720" w:num="1"/>
          <w:docGrid w:type="lines" w:linePitch="312" w:charSpace="0"/>
        </w:sectPr>
      </w:pPr>
    </w:p>
    <w:p>
      <w:pPr>
        <w:spacing w:line="64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南充市中心医院2021年“嘉陵江英才工程”（第二批）公开引进高层次人才面试考生新冠肺炎疫情防控告知暨承诺书</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考生在面试前通过微信小程序“国家政务服务平台”或“天府健康通”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为避免影响考试，来自国内疫情中高风险地区以及与新冠病毒肺炎确诊、疑似病例或无症状感染者有密切接触史的考生，应按照考点当地卫生健康部门疫情防控有关规定，自觉接受隔离观察、健康管理和核酸检测，并在面试资格审查和面试当日提供</w:t>
      </w:r>
      <w:r>
        <w:rPr>
          <w:rFonts w:hint="eastAsia" w:eastAsia="方正仿宋简体" w:cs="Times New Roman"/>
          <w:sz w:val="28"/>
          <w:szCs w:val="28"/>
          <w:lang w:eastAsia="zh-CN"/>
        </w:rPr>
        <w:t>考点当地</w:t>
      </w:r>
      <w:r>
        <w:rPr>
          <w:rFonts w:hint="default" w:ascii="Times New Roman" w:hAnsi="Times New Roman" w:eastAsia="方正仿宋简体" w:cs="Times New Roman"/>
          <w:sz w:val="28"/>
          <w:szCs w:val="28"/>
        </w:rPr>
        <w:t>卫生健康部门疫情防控</w:t>
      </w:r>
      <w:r>
        <w:rPr>
          <w:rFonts w:hint="eastAsia" w:eastAsia="方正仿宋简体" w:cs="Times New Roman"/>
          <w:sz w:val="28"/>
          <w:szCs w:val="28"/>
          <w:lang w:eastAsia="zh-CN"/>
        </w:rPr>
        <w:t>规定时限内</w:t>
      </w:r>
      <w:bookmarkStart w:id="0" w:name="_GoBack"/>
      <w:bookmarkEnd w:id="0"/>
      <w:r>
        <w:rPr>
          <w:rFonts w:hint="default" w:ascii="Times New Roman" w:hAnsi="Times New Roman" w:eastAsia="方正仿宋简体" w:cs="Times New Roman"/>
          <w:sz w:val="28"/>
          <w:szCs w:val="28"/>
        </w:rPr>
        <w:t>的新型冠状病毒肺炎核酸检测阴性证明，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四、面试当天入场时因体温异常、咳嗽等症状，经现场医务人员确认有呼吸道异常症状的考生，不再参加此次面试。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六、考生在领取面试通知书前须签署《南充市中心医院2021年“嘉陵江英才工程”（第二批）公开引进高层次人才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default"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380" w:lineRule="exact"/>
        <w:ind w:right="840" w:rightChars="400"/>
        <w:jc w:val="right"/>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南充市中心医院</w:t>
      </w:r>
    </w:p>
    <w:p>
      <w:pPr>
        <w:keepNext w:val="0"/>
        <w:keepLines w:val="0"/>
        <w:pageBreakBefore w:val="0"/>
        <w:widowControl w:val="0"/>
        <w:kinsoku/>
        <w:wordWrap/>
        <w:overflowPunct/>
        <w:topLinePunct w:val="0"/>
        <w:autoSpaceDE/>
        <w:autoSpaceDN/>
        <w:bidi w:val="0"/>
        <w:adjustRightInd/>
        <w:snapToGrid/>
        <w:spacing w:line="380" w:lineRule="exact"/>
        <w:ind w:right="945" w:rightChars="450"/>
        <w:jc w:val="right"/>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eastAsia="zh-CN"/>
        </w:rPr>
        <w:t xml:space="preserve">           </w:t>
      </w:r>
      <w:r>
        <w:rPr>
          <w:rFonts w:hint="eastAsia"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2021年</w:t>
      </w:r>
      <w:r>
        <w:rPr>
          <w:rFonts w:hint="eastAsia"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月</w:t>
      </w:r>
      <w:r>
        <w:rPr>
          <w:rFonts w:hint="eastAsia"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日</w:t>
      </w:r>
    </w:p>
    <w:p>
      <w:pPr>
        <w:keepNext w:val="0"/>
        <w:keepLines w:val="0"/>
        <w:pageBreakBefore w:val="0"/>
        <w:widowControl w:val="0"/>
        <w:kinsoku/>
        <w:wordWrap/>
        <w:overflowPunct/>
        <w:topLinePunct w:val="0"/>
        <w:autoSpaceDE/>
        <w:autoSpaceDN/>
        <w:bidi w:val="0"/>
        <w:adjustRightInd/>
        <w:snapToGrid/>
        <w:spacing w:line="380" w:lineRule="exact"/>
        <w:ind w:left="277" w:leftChars="0" w:hanging="277" w:hangingChars="99"/>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w:t>
      </w:r>
    </w:p>
    <w:p>
      <w:pPr>
        <w:keepNext w:val="0"/>
        <w:keepLines w:val="0"/>
        <w:pageBreakBefore w:val="0"/>
        <w:widowControl w:val="0"/>
        <w:kinsoku/>
        <w:wordWrap/>
        <w:overflowPunct/>
        <w:topLinePunct w:val="0"/>
        <w:autoSpaceDE/>
        <w:autoSpaceDN/>
        <w:bidi w:val="0"/>
        <w:adjustRightInd/>
        <w:snapToGrid/>
        <w:spacing w:line="380" w:lineRule="exact"/>
        <w:ind w:left="279" w:leftChars="133"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本人已认真阅读《南充市中心医院2021年“嘉陵江英才工程”（第二批）公开引进高层次人才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380" w:lineRule="exact"/>
        <w:ind w:firstLine="5600" w:firstLineChars="2000"/>
        <w:textAlignment w:val="auto"/>
        <w:outlineLvl w:val="9"/>
        <w:rPr>
          <w:rFonts w:hint="default"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380" w:lineRule="exact"/>
        <w:ind w:firstLine="6720" w:firstLineChars="2400"/>
        <w:textAlignment w:val="auto"/>
        <w:outlineLvl w:val="9"/>
        <w:rPr>
          <w:rFonts w:hint="default" w:ascii="Times New Roman" w:hAnsi="Times New Roman" w:eastAsia="仿宋" w:cs="Times New Roman"/>
          <w:sz w:val="32"/>
          <w:szCs w:val="32"/>
        </w:rPr>
      </w:pPr>
      <w:r>
        <w:rPr>
          <w:rFonts w:hint="default" w:ascii="Times New Roman" w:hAnsi="Times New Roman" w:eastAsia="方正仿宋简体" w:cs="Times New Roman"/>
          <w:sz w:val="28"/>
          <w:szCs w:val="28"/>
        </w:rPr>
        <w:t>承诺人（签字）：</w:t>
      </w:r>
    </w:p>
    <w:sectPr>
      <w:footerReference r:id="rId5" w:type="first"/>
      <w:footerReference r:id="rId3" w:type="default"/>
      <w:footerReference r:id="rId4" w:type="even"/>
      <w:pgSz w:w="11906" w:h="16838"/>
      <w:pgMar w:top="454" w:right="850" w:bottom="454" w:left="850" w:header="851" w:footer="0" w:gutter="0"/>
      <w:pgNumType w:fmt="numberInDash" w:chapStyle="1"/>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roma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676" w:rightChars="322"/>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2" w:firstLineChars="101"/>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p>
    <w:pPr>
      <w:pStyle w:val="2"/>
      <w:ind w:firstLine="273" w:firstLineChars="152"/>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rPr>
        <w:lang w:val="zh-CN"/>
      </w:rPr>
      <w:t>-</w:t>
    </w:r>
    <w:r>
      <w:t xml:space="preserve">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54407103"/>
    <w:rsid w:val="787653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u w:val="single"/>
    </w:rPr>
  </w:style>
  <w:style w:type="character" w:customStyle="1" w:styleId="7">
    <w:name w:val="font11"/>
    <w:qFormat/>
    <w:uiPriority w:val="0"/>
    <w:rPr>
      <w:rFonts w:ascii="方正仿宋简体" w:hAnsi="方正仿宋简体" w:eastAsia="方正仿宋简体" w:cs="方正仿宋简体"/>
      <w:b/>
      <w:color w:val="000000"/>
      <w:sz w:val="24"/>
      <w:szCs w:val="24"/>
      <w:u w:val="none"/>
    </w:rPr>
  </w:style>
  <w:style w:type="character" w:customStyle="1" w:styleId="8">
    <w:name w:val="页眉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1645</Words>
  <Characters>473</Characters>
  <Lines>3</Lines>
  <Paragraphs>4</Paragraphs>
  <TotalTime>1</TotalTime>
  <ScaleCrop>false</ScaleCrop>
  <LinksUpToDate>false</LinksUpToDate>
  <CharactersWithSpaces>2114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2021-05-21T21:12:00Z</dcterms:created>
  <dc:creator>Administrator</dc:creator>
  <cp:lastModifiedBy>Lenovo</cp:lastModifiedBy>
  <cp:lastPrinted>2021-12-24T10:46:00Z</cp:lastPrinted>
  <dcterms:modified xsi:type="dcterms:W3CDTF">2021-12-30T09:01:41Z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085D37E2BFF3428EA74031DA846F2F05</vt:lpwstr>
  </property>
</Properties>
</file>