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jc w:val="center"/>
        <w:textAlignment w:val="auto"/>
        <w:rPr>
          <w:rFonts w:hint="default" w:ascii="黑体" w:hAnsi="黑体" w:eastAsia="黑体" w:cs="宋体"/>
          <w:b/>
          <w:bCs/>
          <w:color w:val="000000" w:themeColor="text1"/>
          <w:kern w:val="0"/>
          <w:sz w:val="44"/>
          <w:szCs w:val="44"/>
          <w:lang w:val="en-US" w:eastAsia="zh-CN"/>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2022年亳州学院</w:t>
      </w:r>
      <w:r>
        <w:rPr>
          <w:rFonts w:hint="eastAsia" w:ascii="黑体" w:hAnsi="黑体" w:eastAsia="黑体" w:cs="宋体"/>
          <w:b/>
          <w:bCs/>
          <w:color w:val="000000" w:themeColor="text1"/>
          <w:kern w:val="0"/>
          <w:sz w:val="44"/>
          <w:szCs w:val="44"/>
          <w:lang w:val="en-US" w:eastAsia="zh-CN"/>
          <w14:textFill>
            <w14:solidFill>
              <w14:schemeClr w14:val="tx1"/>
            </w14:solidFill>
          </w14:textFill>
        </w:rPr>
        <w:t>第二批</w:t>
      </w:r>
      <w:r>
        <w:rPr>
          <w:rFonts w:hint="eastAsia" w:ascii="黑体" w:hAnsi="黑体" w:eastAsia="黑体" w:cs="宋体"/>
          <w:b/>
          <w:bCs/>
          <w:color w:val="000000" w:themeColor="text1"/>
          <w:kern w:val="0"/>
          <w:sz w:val="44"/>
          <w:szCs w:val="44"/>
          <w14:textFill>
            <w14:solidFill>
              <w14:schemeClr w14:val="tx1"/>
            </w14:solidFill>
          </w14:textFill>
        </w:rPr>
        <w:t>紧缺人才招聘计划</w:t>
      </w:r>
      <w:bookmarkStart w:id="0" w:name="_GoBack"/>
      <w:bookmarkEnd w:id="0"/>
    </w:p>
    <w:tbl>
      <w:tblPr>
        <w:tblStyle w:val="3"/>
        <w:tblW w:w="8955" w:type="dxa"/>
        <w:tblInd w:w="-23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885"/>
        <w:gridCol w:w="645"/>
        <w:gridCol w:w="630"/>
        <w:gridCol w:w="600"/>
        <w:gridCol w:w="870"/>
        <w:gridCol w:w="2265"/>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8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用人单位</w:t>
            </w:r>
          </w:p>
        </w:tc>
        <w:tc>
          <w:tcPr>
            <w:tcW w:w="6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岗位性质</w:t>
            </w:r>
          </w:p>
        </w:tc>
        <w:tc>
          <w:tcPr>
            <w:tcW w:w="6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岗位</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代码</w:t>
            </w: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招聘</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计划</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学历</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/学位</w:t>
            </w:r>
          </w:p>
        </w:tc>
        <w:tc>
          <w:tcPr>
            <w:tcW w:w="22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学科专业</w:t>
            </w:r>
          </w:p>
        </w:tc>
        <w:tc>
          <w:tcPr>
            <w:tcW w:w="25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电子与信息工程系</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教学科研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220201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硕士研究生/硕士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计算机类、软件工程类、人工智能类</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电子与信息工程系</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教学科研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硕士研究生/硕士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计算机类、管理类、经济类或信息技术相关</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本科为电子商务专业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生物与食品工程系</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教学科研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220203</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 </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硕士研究生/硕士</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轻工技术与工程类或食品科学与工程类或生物工程类</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本科专业为酿酒工程或葡萄与葡萄酒工程。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生物与食品工程系</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教学科研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220204</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 </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硕士研究生/硕士</w:t>
            </w:r>
          </w:p>
        </w:tc>
        <w:tc>
          <w:tcPr>
            <w:tcW w:w="2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食品科学与工程类                       </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本科专业为食品科学与工程或食品质量与安全或食品卫生与营养学或食品营养与检验教育或烹饪与营养教育等。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中药学院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教学科研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220205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硕士研究生/硕士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医学技术、人体解剖与组织学、病原生物学、病理学与病理生理学、放射医学、影像医学与核医学、临床检验诊断学</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中药学院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教学科研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220206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硕士研究生/硕士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中医学、中医 </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中药学院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教学科研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220207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硕士研究生/硕士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药物化学、中药学</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76CEF"/>
    <w:rsid w:val="4FA7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2022-04-13T08:11:00Z</dcterms:created>
  <dc:creator>Administrator</dc:creator>
  <cp:lastModifiedBy>Administrator</cp:lastModifiedBy>
  <dcterms:modified xsi:type="dcterms:W3CDTF">2022-04-13T08:12:52Z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ACFAD89133FA4C128AF3FFE0432F5AA5</vt:lpwstr>
  </property>
</Properties>
</file>