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7"/>
        <w:gridCol w:w="736"/>
        <w:gridCol w:w="816"/>
        <w:gridCol w:w="670"/>
        <w:gridCol w:w="641"/>
        <w:gridCol w:w="758"/>
        <w:gridCol w:w="720"/>
        <w:gridCol w:w="717"/>
        <w:gridCol w:w="866"/>
        <w:gridCol w:w="886"/>
        <w:gridCol w:w="1632"/>
        <w:gridCol w:w="1226"/>
        <w:gridCol w:w="2753"/>
        <w:gridCol w:w="17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lang w:bidi="ar"/>
              </w:rPr>
              <w:t>附件2：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bidi="ar"/>
              </w:rPr>
              <w:t xml:space="preserve">  2</w:t>
            </w: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bidi="ar"/>
              </w:rPr>
              <w:t>022年聊城高级财经职业学校“水城优才”优秀青年人才引进岗位汇总表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主管部门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人才引进单位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岗位类别</w:t>
            </w:r>
          </w:p>
        </w:tc>
        <w:tc>
          <w:tcPr>
            <w:tcW w:w="2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岗位等级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岗位性质</w:t>
            </w:r>
          </w:p>
        </w:tc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岗位名称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招聘人数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学历要求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学位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要求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大学本科专业要求</w:t>
            </w: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研究生专业要求</w:t>
            </w:r>
          </w:p>
        </w:tc>
        <w:tc>
          <w:tcPr>
            <w:tcW w:w="9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其他条件要求</w:t>
            </w:r>
          </w:p>
        </w:tc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1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聊城市人民政府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聊城高级财经职业学校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专业技术岗位</w:t>
            </w:r>
          </w:p>
        </w:tc>
        <w:tc>
          <w:tcPr>
            <w:tcW w:w="2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高级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教育类（G)</w:t>
            </w:r>
          </w:p>
        </w:tc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教师1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学士及以上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计算机科学与技术、电子科学与技术</w:t>
            </w: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9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  <w:highlight w:val="yellow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具有三年及以上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  <w:t>企业或职业院校工作经历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；具有高级专业技术职务资格证书；研究生报考的，本科需为所列专业</w:t>
            </w:r>
          </w:p>
        </w:tc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1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聊城市人民政府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聊城高级财经职业学校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专业技术岗位</w:t>
            </w:r>
          </w:p>
        </w:tc>
        <w:tc>
          <w:tcPr>
            <w:tcW w:w="2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高级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教育类（G)</w:t>
            </w:r>
          </w:p>
        </w:tc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教师2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学士及以上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机械设计制造及其自动化</w:t>
            </w: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9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  <w:highlight w:val="yellow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具有三年及以上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  <w:t>企业或职业院校工作经历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；具有高级专业技术职务资格证书；研究生报考的，本科需为所列专业</w:t>
            </w:r>
          </w:p>
        </w:tc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</w:trPr>
        <w:tc>
          <w:tcPr>
            <w:tcW w:w="1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聊城市人民政府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聊城高级财经职业学校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专业技术岗位</w:t>
            </w:r>
          </w:p>
        </w:tc>
        <w:tc>
          <w:tcPr>
            <w:tcW w:w="2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高级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教育类（G)</w:t>
            </w:r>
          </w:p>
        </w:tc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教师3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英语、英语教育</w:t>
            </w: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英语语言文学、学科教学（英语）</w:t>
            </w:r>
          </w:p>
        </w:tc>
        <w:tc>
          <w:tcPr>
            <w:tcW w:w="9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具有三年及以上教师工作经历；具有中职或高中教师资格证；具有高级教师专业技术职务资格证书</w:t>
            </w:r>
          </w:p>
        </w:tc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1" w:hRule="atLeast"/>
        </w:trPr>
        <w:tc>
          <w:tcPr>
            <w:tcW w:w="1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聊城市人民政府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聊城高级财经职业学校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专业技术岗位</w:t>
            </w:r>
          </w:p>
        </w:tc>
        <w:tc>
          <w:tcPr>
            <w:tcW w:w="2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初级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教育类（G)</w:t>
            </w:r>
          </w:p>
        </w:tc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教师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全日制研究生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硕士学位及以上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数学教育、应用数学、学科教学（数学）</w:t>
            </w:r>
          </w:p>
        </w:tc>
        <w:tc>
          <w:tcPr>
            <w:tcW w:w="9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1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聊城市人民政府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聊城高级财经职业学校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专业技术岗位</w:t>
            </w:r>
          </w:p>
        </w:tc>
        <w:tc>
          <w:tcPr>
            <w:tcW w:w="2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初级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教育类（G)</w:t>
            </w:r>
          </w:p>
        </w:tc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综合管理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全日制研究生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硕士学位及以上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会计、会计学、金融学</w:t>
            </w:r>
          </w:p>
        </w:tc>
        <w:tc>
          <w:tcPr>
            <w:tcW w:w="9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200" w:firstLineChars="10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加试公文写作</w:t>
            </w:r>
          </w:p>
        </w:tc>
      </w:tr>
    </w:tbl>
    <w:p/>
    <w:sectPr>
      <w:pgSz w:w="16838" w:h="11906" w:orient="landscape"/>
      <w:pgMar w:top="1236" w:right="1213" w:bottom="1236" w:left="121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JkNjVhNzhmNGQxZDI3YzhjMTQ2NThlYjFmMDE3MGIifQ=="/>
  </w:docVars>
  <w:rsids>
    <w:rsidRoot w:val="00000000"/>
    <w:rsid w:val="1C2E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/>
      <w:b/>
      <w:bCs/>
      <w:kern w:val="0"/>
      <w:sz w:val="36"/>
      <w:szCs w:val="36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2022-04-25T12:23:07Z</dcterms:created>
  <dc:creator>Administrator</dc:creator>
  <cp:lastModifiedBy>Administrator</cp:lastModifiedBy>
  <dcterms:modified xsi:type="dcterms:W3CDTF">2022-04-25T12:23:49Z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136704810388490B858DC76779004BC8</vt:lpwstr>
  </property>
</Properties>
</file>