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55" w:tblpY="283"/>
        <w:tblOverlap w:val="never"/>
        <w:tblW w:w="14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35"/>
        <w:gridCol w:w="1230"/>
        <w:gridCol w:w="1230"/>
        <w:gridCol w:w="600"/>
        <w:gridCol w:w="630"/>
        <w:gridCol w:w="1560"/>
        <w:gridCol w:w="1345"/>
        <w:gridCol w:w="1559"/>
        <w:gridCol w:w="2835"/>
        <w:gridCol w:w="1116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6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附件1: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36"/>
                <w:szCs w:val="36"/>
                <w:lang w:val="en-US" w:eastAsia="zh-CN"/>
              </w:rPr>
              <w:t>遵义市营商环境建设局委托</w:t>
            </w: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36"/>
                <w:szCs w:val="36"/>
              </w:rPr>
              <w:t>遵义人力资源</w:t>
            </w: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36"/>
                <w:szCs w:val="36"/>
                <w:lang w:val="en-US" w:eastAsia="zh-CN"/>
              </w:rPr>
              <w:t>有限</w:t>
            </w: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36"/>
                <w:szCs w:val="36"/>
              </w:rPr>
              <w:t>公司公开招聘劳动合制</w:t>
            </w: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36"/>
                <w:szCs w:val="36"/>
                <w:lang w:val="en-US" w:eastAsia="zh-CN"/>
              </w:rPr>
              <w:t>派遣</w:t>
            </w:r>
            <w:r>
              <w:rPr>
                <w:rFonts w:hint="eastAsia" w:ascii="方正公文小标宋" w:hAnsi="方正公文小标宋" w:eastAsia="方正公文小标宋" w:cs="方正公文小标宋"/>
                <w:color w:val="000000"/>
                <w:kern w:val="0"/>
                <w:sz w:val="36"/>
                <w:szCs w:val="36"/>
              </w:rPr>
              <w:t>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遵义市营商环境建设局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合同制派遣人员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服务窗口工作人员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大专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</w:rPr>
              <w:t>18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周岁以上35周岁以下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1.遵义市（含所辖县〈市、区〉）户籍，男女不限；</w:t>
            </w:r>
          </w:p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2.年龄在18周岁以上(2004年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日及以前出生)，35周岁以下 (198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日及以后出生)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EC4B89C-A507-4224-A18C-7A213E6C3ED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9BBA62C3-7A73-458B-84F5-DEDBC15C4896}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3" w:fontKey="{B428AC82-F8B1-453F-AE99-6559E77C6B4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08A178AE-4190-4B53-9F28-869EBABAED5D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B4A4A4BC-8631-411E-BCE2-E0E63B5107C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7144"/>
    <w:rsid w:val="1B53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2022-04-29T05:50:00Z</dcterms:created>
  <dc:creator>WPS_1554690240</dc:creator>
  <cp:lastModifiedBy>WPS_1554690240</cp:lastModifiedBy>
  <dcterms:modified xsi:type="dcterms:W3CDTF">2022-04-29T05:54:56Z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2FEAE5FF49CB44B7B0C8E1B280762DA2</vt:lpwstr>
  </property>
</Properties>
</file>