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5D" w:rsidRDefault="001C0D5D">
      <w:pPr>
        <w:spacing w:line="600" w:lineRule="exact"/>
        <w:rPr>
          <w:rFonts w:ascii="仿宋_GB2312" w:eastAsia="仿宋_GB2312"/>
          <w:sz w:val="32"/>
          <w:szCs w:val="32"/>
        </w:rPr>
      </w:pPr>
      <w:r>
        <w:rPr>
          <w:rFonts w:ascii="黑体" w:eastAsia="黑体" w:hAnsi="黑体" w:hint="eastAsia"/>
          <w:sz w:val="32"/>
          <w:szCs w:val="32"/>
        </w:rPr>
        <w:t>附件</w:t>
      </w:r>
      <w:r>
        <w:rPr>
          <w:rFonts w:ascii="黑体" w:eastAsia="黑体" w:hAnsi="黑体"/>
          <w:sz w:val="32"/>
          <w:szCs w:val="32"/>
        </w:rPr>
        <w:t>3</w:t>
      </w:r>
    </w:p>
    <w:p w:rsidR="001C0D5D" w:rsidRDefault="001C0D5D">
      <w:pPr>
        <w:spacing w:line="600" w:lineRule="exact"/>
      </w:pPr>
    </w:p>
    <w:p w:rsidR="001C0D5D" w:rsidRDefault="001C0D5D">
      <w:pPr>
        <w:pStyle w:val="Heading1"/>
        <w:keepNext w:val="0"/>
        <w:keepLines w:val="0"/>
        <w:spacing w:before="0" w:after="0" w:line="600" w:lineRule="exact"/>
        <w:jc w:val="center"/>
        <w:rPr>
          <w:rFonts w:ascii="方正小标宋简体" w:eastAsia="方正小标宋简体" w:hAnsi="方正小标宋简体" w:cs="方正小标宋简体"/>
          <w:b w:val="0"/>
          <w:color w:val="000000"/>
          <w:shd w:val="clear" w:color="auto" w:fill="FFFFFF"/>
        </w:rPr>
      </w:pPr>
      <w:r>
        <w:rPr>
          <w:rFonts w:ascii="方正小标宋简体" w:eastAsia="方正小标宋简体" w:hAnsi="方正小标宋简体" w:cs="方正小标宋简体" w:hint="eastAsia"/>
          <w:b w:val="0"/>
          <w:color w:val="000000"/>
          <w:shd w:val="clear" w:color="auto" w:fill="FFFFFF"/>
        </w:rPr>
        <w:t>事业单位公开招聘违纪违规行为处理规定</w:t>
      </w:r>
    </w:p>
    <w:p w:rsidR="001C0D5D" w:rsidRDefault="001C0D5D">
      <w:pPr>
        <w:spacing w:line="600" w:lineRule="exact"/>
        <w:rPr>
          <w:rFonts w:ascii="仿宋_GB2312" w:eastAsia="仿宋_GB2312" w:hAnsi="仿宋" w:cs="仿宋"/>
          <w:color w:val="000000"/>
          <w:sz w:val="32"/>
          <w:szCs w:val="32"/>
          <w:shd w:val="clear" w:color="auto" w:fill="FFFFFF"/>
        </w:rPr>
      </w:pPr>
    </w:p>
    <w:p w:rsidR="001C0D5D" w:rsidRDefault="001C0D5D">
      <w:pPr>
        <w:spacing w:line="600" w:lineRule="exact"/>
        <w:jc w:val="center"/>
        <w:rPr>
          <w:rFonts w:ascii="黑体" w:eastAsia="黑体" w:hAnsi="黑体"/>
          <w:bCs/>
          <w:sz w:val="32"/>
          <w:szCs w:val="32"/>
        </w:rPr>
      </w:pPr>
      <w:r>
        <w:rPr>
          <w:rFonts w:ascii="黑体" w:eastAsia="黑体" w:hAnsi="黑体" w:hint="eastAsia"/>
          <w:bCs/>
          <w:sz w:val="32"/>
          <w:szCs w:val="32"/>
        </w:rPr>
        <w:t>第一章</w:t>
      </w:r>
      <w:r>
        <w:rPr>
          <w:rFonts w:ascii="黑体" w:eastAsia="黑体" w:hAnsi="黑体"/>
          <w:bCs/>
          <w:sz w:val="32"/>
          <w:szCs w:val="32"/>
        </w:rPr>
        <w:t xml:space="preserve"> </w:t>
      </w:r>
      <w:r>
        <w:rPr>
          <w:rFonts w:ascii="黑体" w:eastAsia="黑体" w:hAnsi="黑体" w:hint="eastAsia"/>
          <w:bCs/>
          <w:sz w:val="32"/>
          <w:szCs w:val="32"/>
        </w:rPr>
        <w:t>总</w:t>
      </w:r>
      <w:r>
        <w:rPr>
          <w:rFonts w:ascii="黑体" w:eastAsia="黑体" w:hAnsi="黑体"/>
          <w:bCs/>
          <w:sz w:val="32"/>
          <w:szCs w:val="32"/>
        </w:rPr>
        <w:t xml:space="preserve"> </w:t>
      </w:r>
      <w:r>
        <w:rPr>
          <w:rFonts w:ascii="黑体" w:eastAsia="黑体" w:hAnsi="黑体" w:hint="eastAsia"/>
          <w:bCs/>
          <w:sz w:val="32"/>
          <w:szCs w:val="32"/>
        </w:rPr>
        <w:t>则</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第一条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为加强事业单位公开招聘工作管理，规范公开招聘违纪违规行为的认定与处理，保证招聘工作公开、公平、公正，根据《事业单位人事管理条例》等有关规定，制定本规定。</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第二条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事业单位公开招聘中违纪违规行为的认定与处理，适用本规定。</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第三条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认定与处理公开招聘违纪违规行为，应当事实清楚、证据确凿、程序规范、适用规定准确。</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第四条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中央事业单位人事综合管理部门负责全国事业单位公开招聘工作的综合管理与监督。</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各级事业单位人事综合管理部门、事业单位主管部门、招聘单位按照事业单位公开招聘管理权限，依据本规定对公开招聘违纪违规行为进行认定与处理。</w:t>
      </w:r>
    </w:p>
    <w:p w:rsidR="001C0D5D" w:rsidRDefault="001C0D5D">
      <w:pPr>
        <w:spacing w:line="600" w:lineRule="exact"/>
        <w:jc w:val="center"/>
        <w:rPr>
          <w:rFonts w:ascii="黑体" w:eastAsia="黑体" w:hAnsi="黑体"/>
          <w:bCs/>
          <w:sz w:val="32"/>
          <w:szCs w:val="32"/>
        </w:rPr>
      </w:pPr>
      <w:r>
        <w:rPr>
          <w:rFonts w:ascii="黑体" w:eastAsia="黑体" w:hAnsi="黑体" w:hint="eastAsia"/>
          <w:bCs/>
          <w:sz w:val="32"/>
          <w:szCs w:val="32"/>
        </w:rPr>
        <w:t>第二章</w:t>
      </w:r>
      <w:r>
        <w:rPr>
          <w:rFonts w:ascii="黑体" w:eastAsia="黑体" w:hAnsi="黑体"/>
          <w:bCs/>
          <w:sz w:val="32"/>
          <w:szCs w:val="32"/>
        </w:rPr>
        <w:t xml:space="preserve"> </w:t>
      </w:r>
      <w:r>
        <w:rPr>
          <w:rFonts w:ascii="黑体" w:eastAsia="黑体" w:hAnsi="黑体" w:hint="eastAsia"/>
          <w:bCs/>
          <w:sz w:val="32"/>
          <w:szCs w:val="32"/>
        </w:rPr>
        <w:t>应聘人员违纪违规行为处理</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第五条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应聘人员在报名过程中有下列违纪违规行为之一的，取消其本次应聘资格：</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（一）伪造、涂改证件、证明等报名材料，或者以其他不正当手段获取应聘资格的；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（二）提供的涉及报考资格的申请材料或者信息不实，且影响报名审核结果的；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（三）其他应当取消其本次应聘资格的违纪违规行为。</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第六条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应聘人员在考试过程中有下列违纪违规行为之一的，给予其当次该科目考试成绩无效的处理：</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（一）携带规定以外的物品进入考场且未按要求放在指定位置，经提醒仍不改正的；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（二）未在规定座位参加考试，或者未经考试工作人员允许擅自离开座位或者考场，经提醒仍不改正的；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（三）经提醒仍不按规定填写、填涂本人信息的；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（四）在试卷、答题纸、答题卡规定以外位置标注本人信息或者其他特殊标记的；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（五）在考试开始信号发出前答题，或者在考试结束信号发出后继续答题，经提醒仍不停止的；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（六）将试卷、答题卡、答题纸带出考场，或者故意损坏试卷、答题卡、答题纸及考试相关设施设备的；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（七）其他应当给予当次该科目考试成绩无效处理的违纪违规行为。</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第七条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应聘人员在考试过程中有下列严重违纪违规行为之一的，给予其当次全部科目考试成绩无效的处理，并将其违纪违规行为记入事业单位公开招聘应聘人员诚信档案库，记录期限为五年：</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（一）抄袭、协助他人抄袭的；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（二）互相传递试卷、答题纸、答题卡、草稿纸等的；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（三）持伪造证件参加考试的；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（四）使用禁止带入考场的通讯工具、规定以外的电子用品的；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（五）本人离开考场后，在本场考试结束前，传播考试试题及答案的；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（六）其他应当给予当次全部科目考试成绩无效处理并记入事业单位公开招聘应聘人员诚信档案库的严重违纪违规行为。</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第八条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应聘人员有下列特别严重违纪违规行为之一的，给予其当次全部科目考试成绩无效的处理，并将其违纪违规行为记入事业单位公开招聘应聘人员诚信档案库，长期记录：</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（一）串通作弊或者参与有组织作弊的；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（二）代替他人或者让他人代替自己参加考试的；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（三）其他应当给予当次全部科目考试成绩无效处理并记入事业单位公开招聘应聘人员诚信档案库的特别严重的违纪违规行为。</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第九条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（一）故意扰乱考点、考场以及其他招聘工作场所秩序的；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（二）拒绝、妨碍工作人员履行管理职责的；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pacing w:val="-4"/>
          <w:sz w:val="32"/>
          <w:szCs w:val="32"/>
        </w:rPr>
      </w:pPr>
      <w:r>
        <w:rPr>
          <w:rFonts w:ascii="仿宋_GB2312" w:eastAsia="仿宋_GB2312" w:hAnsi="仿宋" w:cs="仿宋" w:hint="eastAsia"/>
          <w:color w:val="000000"/>
          <w:sz w:val="32"/>
          <w:szCs w:val="32"/>
          <w:shd w:val="clear" w:color="auto" w:fill="FFFFFF"/>
        </w:rPr>
        <w:t>（三）威</w:t>
      </w:r>
      <w:r>
        <w:rPr>
          <w:rFonts w:ascii="仿宋_GB2312" w:eastAsia="仿宋_GB2312" w:hAnsi="仿宋" w:cs="仿宋" w:hint="eastAsia"/>
          <w:color w:val="000000"/>
          <w:spacing w:val="-4"/>
          <w:sz w:val="32"/>
          <w:szCs w:val="32"/>
          <w:shd w:val="clear" w:color="auto" w:fill="FFFFFF"/>
        </w:rPr>
        <w:t>胁、侮辱、诽谤、诬陷工作人员或者其他应聘人员的；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（四）其他扰乱招聘工作秩序的违纪违规行为。</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第十条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应聘人员之间同一科目作答内容雷同，并有其他相关证据证明其违纪违规行为成立的，视具体情形按照本规定第七条、第八条处理。</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第十一条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第十二条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第十三条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应聘人员聘用后被查明有本规定所列违纪违规行为的，由招聘单位与其解除聘用合同、予以清退，其中符合第七条、第八条、第十一条、第十二条违纪违规行为的，记入事业单位公开招聘应聘人员诚信档案库。</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第十四条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1C0D5D" w:rsidRDefault="001C0D5D">
      <w:pPr>
        <w:spacing w:line="600" w:lineRule="exact"/>
        <w:jc w:val="center"/>
        <w:rPr>
          <w:rFonts w:ascii="黑体" w:eastAsia="黑体" w:hAnsi="黑体"/>
          <w:bCs/>
          <w:sz w:val="32"/>
          <w:szCs w:val="32"/>
        </w:rPr>
      </w:pPr>
      <w:r>
        <w:rPr>
          <w:rFonts w:ascii="黑体" w:eastAsia="黑体" w:hAnsi="黑体" w:hint="eastAsia"/>
          <w:bCs/>
          <w:sz w:val="32"/>
          <w:szCs w:val="32"/>
        </w:rPr>
        <w:t>第三章</w:t>
      </w:r>
      <w:r>
        <w:rPr>
          <w:rFonts w:ascii="黑体" w:eastAsia="黑体" w:hAnsi="黑体"/>
          <w:bCs/>
          <w:sz w:val="32"/>
          <w:szCs w:val="32"/>
        </w:rPr>
        <w:t xml:space="preserve"> </w:t>
      </w:r>
      <w:r>
        <w:rPr>
          <w:rFonts w:ascii="黑体" w:eastAsia="黑体" w:hAnsi="黑体" w:hint="eastAsia"/>
          <w:bCs/>
          <w:sz w:val="32"/>
          <w:szCs w:val="32"/>
        </w:rPr>
        <w:t>招聘单位和招聘工作人员违纪违规行为处理</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第十五条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招聘单位在公开招聘中有下列行为之一的，事业单位主管部门或者事业单位人事综合管理部门应当责令限期改正；逾期不改正的，对直接负责的主管人员和其他直接责任人员依法给予处分：</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（一）未按规定权限和程序核准（备案）招聘方案，擅自组织公开招聘的；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（二）设置与岗位无关的指向性或者限制性条件的；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（三）未按规定发布招聘公告的；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（四）招聘公告发布后，擅自变更招聘程序、岗位条件、招聘人数、考试考察方式等的；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（五）未按招聘条件进行资格审查的；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（六）未按规定组织体检的；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（七）未按规定公示拟聘用人员名单的；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（八）其他应当责令改正的违纪违规行为。</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第十六条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招聘工作人员有下列行为之一的，由相关部门给予处分，并停止其继续参加当年及下一年度招聘工作：</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（一）擅自提前考试开始时间、推迟考试结束时间及缩短考试时间的；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（二）擅自为应聘人员调换考场或者座位的；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（三）未准确记录考场情况及违纪违规行为，并造成一定影响的；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（四）未执行回避制度的；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（五）其他一般违纪违规行为。</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第十七条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招聘工作人员有下列行为之一的，由相关部门给予处分，并将其调离招聘工作岗位，不得再从事招聘工作；构成犯罪的，依法追究刑事责任：</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（一）指使、纵容他人作弊，或者在考试、考察、体检过程中参与作弊的；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（二）在保密期限内，泄露考试试题、面试评分要素等应当保密的信息的；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（三）擅自更改考试评分标准或者不按评分标准进行评卷的；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（四）监管不严，导致考场出现大面积作弊现象的；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（五）玩忽职守，造成不良影响的；</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（六）其他严重违纪违规行为。</w:t>
      </w:r>
    </w:p>
    <w:p w:rsidR="001C0D5D" w:rsidRDefault="001C0D5D">
      <w:pPr>
        <w:spacing w:line="600" w:lineRule="exact"/>
        <w:jc w:val="center"/>
        <w:rPr>
          <w:rFonts w:ascii="黑体" w:eastAsia="黑体" w:hAnsi="黑体"/>
          <w:bCs/>
          <w:sz w:val="32"/>
          <w:szCs w:val="32"/>
        </w:rPr>
      </w:pPr>
      <w:r>
        <w:rPr>
          <w:rFonts w:ascii="黑体" w:eastAsia="黑体" w:hAnsi="黑体" w:hint="eastAsia"/>
          <w:bCs/>
          <w:sz w:val="32"/>
          <w:szCs w:val="32"/>
        </w:rPr>
        <w:t>第四章</w:t>
      </w:r>
      <w:r>
        <w:rPr>
          <w:rFonts w:ascii="黑体" w:eastAsia="黑体" w:hAnsi="黑体"/>
          <w:bCs/>
          <w:sz w:val="32"/>
          <w:szCs w:val="32"/>
        </w:rPr>
        <w:t xml:space="preserve"> </w:t>
      </w:r>
      <w:r>
        <w:rPr>
          <w:rFonts w:ascii="黑体" w:eastAsia="黑体" w:hAnsi="黑体" w:hint="eastAsia"/>
          <w:bCs/>
          <w:sz w:val="32"/>
          <w:szCs w:val="32"/>
        </w:rPr>
        <w:t>处理程序</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第十八条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第十九条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对应聘人员违纪违规行为作出处理决定的，应当制作公开招聘违纪违规行为处理决定书，依法送达被处理的应聘人员。</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rPr>
      </w:pPr>
      <w:r>
        <w:rPr>
          <w:rFonts w:ascii="仿宋_GB2312" w:eastAsia="仿宋_GB2312" w:hAnsi="仿宋" w:cs="仿宋" w:hint="eastAsia"/>
          <w:color w:val="000000"/>
          <w:sz w:val="32"/>
          <w:szCs w:val="32"/>
          <w:shd w:val="clear" w:color="auto" w:fill="FFFFFF"/>
        </w:rPr>
        <w:t>第二十条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应聘人员对处理决定不服的，可以依法申请行政复议或者提起行政诉讼。</w:t>
      </w:r>
    </w:p>
    <w:p w:rsidR="001C0D5D" w:rsidRDefault="001C0D5D" w:rsidP="00DA74D2">
      <w:pPr>
        <w:pStyle w:val="NormalWeb"/>
        <w:spacing w:before="0" w:beforeAutospacing="0" w:after="0" w:afterAutospacing="0" w:line="600" w:lineRule="exact"/>
        <w:ind w:firstLineChars="200" w:firstLine="637"/>
        <w:rPr>
          <w:rFonts w:ascii="仿宋_GB2312" w:eastAsia="仿宋_GB2312" w:hAnsi="仿宋" w:cs="仿宋"/>
          <w:color w:val="000000"/>
          <w:sz w:val="32"/>
          <w:szCs w:val="32"/>
          <w:shd w:val="clear" w:color="auto" w:fill="FFFFFF"/>
        </w:rPr>
      </w:pPr>
      <w:r>
        <w:rPr>
          <w:rFonts w:ascii="仿宋_GB2312" w:eastAsia="仿宋_GB2312" w:hAnsi="仿宋" w:cs="仿宋" w:hint="eastAsia"/>
          <w:color w:val="000000"/>
          <w:sz w:val="32"/>
          <w:szCs w:val="32"/>
          <w:shd w:val="clear" w:color="auto" w:fill="FFFFFF"/>
        </w:rPr>
        <w:t>第二十一条</w:t>
      </w:r>
      <w:r>
        <w:rPr>
          <w:rFonts w:ascii="仿宋_GB2312" w:eastAsia="仿宋_GB2312" w:hAnsi="仿宋" w:cs="仿宋"/>
          <w:color w:val="000000"/>
          <w:sz w:val="32"/>
          <w:szCs w:val="32"/>
          <w:shd w:val="clear" w:color="auto" w:fill="FFFFFF"/>
        </w:rPr>
        <w:t xml:space="preserve"> </w:t>
      </w:r>
      <w:r>
        <w:rPr>
          <w:rFonts w:ascii="仿宋_GB2312" w:eastAsia="仿宋_GB2312" w:hAnsi="仿宋" w:cs="仿宋" w:hint="eastAsia"/>
          <w:color w:val="000000"/>
          <w:sz w:val="32"/>
          <w:szCs w:val="32"/>
          <w:shd w:val="clear" w:color="auto" w:fill="FFFFFF"/>
        </w:rPr>
        <w:t>参与公开招聘的工作人员对因违纪违规行为受到处分不服的，可以依法申请复核或者提出申诉。</w:t>
      </w:r>
    </w:p>
    <w:p w:rsidR="001C0D5D" w:rsidRDefault="001C0D5D">
      <w:pPr>
        <w:spacing w:line="600" w:lineRule="exact"/>
        <w:jc w:val="center"/>
        <w:rPr>
          <w:rFonts w:ascii="黑体" w:eastAsia="黑体" w:hAnsi="黑体"/>
          <w:bCs/>
          <w:sz w:val="32"/>
          <w:szCs w:val="32"/>
        </w:rPr>
      </w:pPr>
      <w:r>
        <w:rPr>
          <w:rFonts w:ascii="黑体" w:eastAsia="黑体" w:hAnsi="黑体" w:hint="eastAsia"/>
          <w:bCs/>
          <w:sz w:val="32"/>
          <w:szCs w:val="32"/>
        </w:rPr>
        <w:t>第五章</w:t>
      </w:r>
      <w:r>
        <w:rPr>
          <w:rFonts w:ascii="黑体" w:eastAsia="黑体" w:hAnsi="黑体"/>
          <w:bCs/>
          <w:sz w:val="32"/>
          <w:szCs w:val="32"/>
        </w:rPr>
        <w:t xml:space="preserve">  </w:t>
      </w:r>
      <w:r>
        <w:rPr>
          <w:rFonts w:ascii="黑体" w:eastAsia="黑体" w:hAnsi="黑体" w:hint="eastAsia"/>
          <w:bCs/>
          <w:sz w:val="32"/>
          <w:szCs w:val="32"/>
        </w:rPr>
        <w:t>附</w:t>
      </w:r>
      <w:r>
        <w:rPr>
          <w:rFonts w:ascii="黑体" w:eastAsia="黑体" w:hAnsi="黑体"/>
          <w:bCs/>
          <w:sz w:val="32"/>
          <w:szCs w:val="32"/>
        </w:rPr>
        <w:t xml:space="preserve"> </w:t>
      </w:r>
      <w:r>
        <w:rPr>
          <w:rFonts w:ascii="黑体" w:eastAsia="黑体" w:hAnsi="黑体" w:hint="eastAsia"/>
          <w:bCs/>
          <w:sz w:val="32"/>
          <w:szCs w:val="32"/>
        </w:rPr>
        <w:t>则</w:t>
      </w:r>
    </w:p>
    <w:p w:rsidR="001C0D5D" w:rsidRDefault="001C0D5D" w:rsidP="00DA74D2">
      <w:pPr>
        <w:pStyle w:val="NormalWeb"/>
        <w:spacing w:before="0" w:beforeAutospacing="0" w:after="0" w:afterAutospacing="0" w:line="600" w:lineRule="exact"/>
        <w:ind w:firstLineChars="200" w:firstLine="637"/>
        <w:rPr>
          <w:rFonts w:ascii="仿宋_GB2312" w:eastAsia="仿宋_GB2312"/>
          <w:sz w:val="32"/>
          <w:szCs w:val="32"/>
        </w:rPr>
      </w:pPr>
      <w:r>
        <w:rPr>
          <w:rFonts w:ascii="仿宋_GB2312" w:eastAsia="仿宋_GB2312" w:hint="eastAsia"/>
          <w:sz w:val="32"/>
          <w:szCs w:val="32"/>
          <w:shd w:val="clear" w:color="auto" w:fill="FFFFFF"/>
        </w:rPr>
        <w:t>第二十二条</w:t>
      </w:r>
      <w:r>
        <w:rPr>
          <w:rFonts w:ascii="仿宋_GB2312" w:eastAsia="仿宋_GB2312"/>
          <w:sz w:val="32"/>
          <w:szCs w:val="32"/>
          <w:shd w:val="clear" w:color="auto" w:fill="FFFFFF"/>
        </w:rPr>
        <w:t xml:space="preserve"> </w:t>
      </w:r>
      <w:r>
        <w:rPr>
          <w:rFonts w:ascii="仿宋_GB2312" w:eastAsia="仿宋_GB2312" w:hint="eastAsia"/>
          <w:sz w:val="32"/>
          <w:szCs w:val="32"/>
          <w:shd w:val="clear" w:color="auto" w:fill="FFFFFF"/>
        </w:rPr>
        <w:t>本规定自</w:t>
      </w:r>
      <w:r>
        <w:rPr>
          <w:rFonts w:ascii="仿宋_GB2312" w:eastAsia="仿宋_GB2312"/>
          <w:sz w:val="32"/>
          <w:szCs w:val="32"/>
          <w:shd w:val="clear" w:color="auto" w:fill="FFFFFF"/>
        </w:rPr>
        <w:t>2018</w:t>
      </w:r>
      <w:r>
        <w:rPr>
          <w:rFonts w:ascii="仿宋_GB2312" w:eastAsia="仿宋_GB2312" w:hint="eastAsia"/>
          <w:sz w:val="32"/>
          <w:szCs w:val="32"/>
          <w:shd w:val="clear" w:color="auto" w:fill="FFFFFF"/>
        </w:rPr>
        <w:t>年</w:t>
      </w:r>
      <w:r>
        <w:rPr>
          <w:rFonts w:ascii="仿宋_GB2312" w:eastAsia="仿宋_GB2312"/>
          <w:sz w:val="32"/>
          <w:szCs w:val="32"/>
          <w:shd w:val="clear" w:color="auto" w:fill="FFFFFF"/>
        </w:rPr>
        <w:t>1</w:t>
      </w:r>
      <w:r>
        <w:rPr>
          <w:rFonts w:ascii="仿宋_GB2312" w:eastAsia="仿宋_GB2312" w:hint="eastAsia"/>
          <w:sz w:val="32"/>
          <w:szCs w:val="32"/>
          <w:shd w:val="clear" w:color="auto" w:fill="FFFFFF"/>
        </w:rPr>
        <w:t>月</w:t>
      </w:r>
      <w:r>
        <w:rPr>
          <w:rFonts w:ascii="仿宋_GB2312" w:eastAsia="仿宋_GB2312"/>
          <w:sz w:val="32"/>
          <w:szCs w:val="32"/>
          <w:shd w:val="clear" w:color="auto" w:fill="FFFFFF"/>
        </w:rPr>
        <w:t>1</w:t>
      </w:r>
      <w:r>
        <w:rPr>
          <w:rFonts w:ascii="仿宋_GB2312" w:eastAsia="仿宋_GB2312" w:hint="eastAsia"/>
          <w:sz w:val="32"/>
          <w:szCs w:val="32"/>
          <w:shd w:val="clear" w:color="auto" w:fill="FFFFFF"/>
        </w:rPr>
        <w:t>日起施行。</w:t>
      </w:r>
      <w:bookmarkStart w:id="0" w:name="_GoBack"/>
      <w:bookmarkEnd w:id="0"/>
    </w:p>
    <w:sectPr w:rsidR="001C0D5D" w:rsidSect="00DA74D2">
      <w:headerReference w:type="even" r:id="rId6"/>
      <w:headerReference w:type="default" r:id="rId7"/>
      <w:footerReference w:type="even" r:id="rId8"/>
      <w:footerReference w:type="default" r:id="rId9"/>
      <w:headerReference w:type="first" r:id="rId10"/>
      <w:footerReference w:type="first" r:id="rId11"/>
      <w:pgSz w:w="11906" w:h="16838"/>
      <w:pgMar w:top="1928" w:right="1247" w:bottom="1701" w:left="1701" w:header="851" w:footer="1418" w:gutter="0"/>
      <w:pgNumType w:fmt="numberInDash" w:start="12"/>
      <w:cols w:space="425"/>
      <w:docGrid w:type="linesAndChars" w:linePitch="312" w:charSpace="-3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5D" w:rsidRDefault="001C0D5D" w:rsidP="002C5D48">
      <w:r>
        <w:separator/>
      </w:r>
    </w:p>
  </w:endnote>
  <w:endnote w:type="continuationSeparator" w:id="0">
    <w:p w:rsidR="001C0D5D" w:rsidRDefault="001C0D5D" w:rsidP="002C5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5D" w:rsidRDefault="001C0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D5D" w:rsidRDefault="001C0D5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5D" w:rsidRDefault="001C0D5D">
    <w:pPr>
      <w:pStyle w:val="Footer"/>
      <w:framePr w:wrap="around" w:vAnchor="text" w:hAnchor="margin" w:xAlign="center" w:y="1"/>
      <w:ind w:leftChars="150" w:left="315" w:rightChars="150" w:right="315"/>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- 18 -</w:t>
    </w:r>
    <w:r>
      <w:rPr>
        <w:rStyle w:val="PageNumber"/>
        <w:rFonts w:ascii="宋体" w:hAnsi="宋体"/>
        <w:sz w:val="28"/>
        <w:szCs w:val="28"/>
      </w:rPr>
      <w:fldChar w:fldCharType="end"/>
    </w:r>
  </w:p>
  <w:p w:rsidR="001C0D5D" w:rsidRDefault="001C0D5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5D" w:rsidRDefault="001C0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5D" w:rsidRDefault="001C0D5D" w:rsidP="002C5D48">
      <w:r>
        <w:separator/>
      </w:r>
    </w:p>
  </w:footnote>
  <w:footnote w:type="continuationSeparator" w:id="0">
    <w:p w:rsidR="001C0D5D" w:rsidRDefault="001C0D5D" w:rsidP="002C5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5D" w:rsidRDefault="001C0D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5D" w:rsidRDefault="001C0D5D" w:rsidP="00DA74D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5D" w:rsidRDefault="001C0D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4"/>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jk3ODJmYWJlMDJjMTg1ZDk0Y2Y5ZTQyMDA2ZjA0NzQifQ=="/>
  </w:docVars>
  <w:rsids>
    <w:rsidRoot w:val="00320821"/>
    <w:rsid w:val="00050491"/>
    <w:rsid w:val="001008F3"/>
    <w:rsid w:val="00110504"/>
    <w:rsid w:val="001169BF"/>
    <w:rsid w:val="0012783C"/>
    <w:rsid w:val="001B2A47"/>
    <w:rsid w:val="001C0D09"/>
    <w:rsid w:val="001C0D5D"/>
    <w:rsid w:val="00246F5F"/>
    <w:rsid w:val="0025356E"/>
    <w:rsid w:val="002C5D48"/>
    <w:rsid w:val="002E3CDA"/>
    <w:rsid w:val="00320821"/>
    <w:rsid w:val="0033153F"/>
    <w:rsid w:val="00331FDF"/>
    <w:rsid w:val="00374010"/>
    <w:rsid w:val="00387CEB"/>
    <w:rsid w:val="004A318C"/>
    <w:rsid w:val="005107C4"/>
    <w:rsid w:val="00651B69"/>
    <w:rsid w:val="00690C17"/>
    <w:rsid w:val="006A3BF3"/>
    <w:rsid w:val="006F3255"/>
    <w:rsid w:val="006F359A"/>
    <w:rsid w:val="0077764A"/>
    <w:rsid w:val="007B5A55"/>
    <w:rsid w:val="00867DCA"/>
    <w:rsid w:val="008C1ECA"/>
    <w:rsid w:val="00920491"/>
    <w:rsid w:val="00976E58"/>
    <w:rsid w:val="00976ED5"/>
    <w:rsid w:val="009B22C2"/>
    <w:rsid w:val="009B4A07"/>
    <w:rsid w:val="00A01CC2"/>
    <w:rsid w:val="00A22B21"/>
    <w:rsid w:val="00A74466"/>
    <w:rsid w:val="00AD15B8"/>
    <w:rsid w:val="00B20DDA"/>
    <w:rsid w:val="00B52C9D"/>
    <w:rsid w:val="00C3355E"/>
    <w:rsid w:val="00D12582"/>
    <w:rsid w:val="00DA74D2"/>
    <w:rsid w:val="00E06C97"/>
    <w:rsid w:val="00E43AD8"/>
    <w:rsid w:val="00EF3FE2"/>
    <w:rsid w:val="00F14A48"/>
    <w:rsid w:val="00F55494"/>
    <w:rsid w:val="00F65F2A"/>
    <w:rsid w:val="37E037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2C5D48"/>
    <w:pPr>
      <w:widowControl w:val="0"/>
      <w:jc w:val="both"/>
    </w:pPr>
    <w:rPr>
      <w:szCs w:val="24"/>
    </w:rPr>
  </w:style>
  <w:style w:type="paragraph" w:styleId="Heading1">
    <w:name w:val="heading 1"/>
    <w:basedOn w:val="Normal"/>
    <w:next w:val="Normal"/>
    <w:link w:val="Heading1Char"/>
    <w:uiPriority w:val="99"/>
    <w:qFormat/>
    <w:locked/>
    <w:rsid w:val="002C5D4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2C5D48"/>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D48"/>
    <w:rPr>
      <w:rFonts w:cs="Times New Roman"/>
      <w:b/>
      <w:bCs/>
      <w:kern w:val="44"/>
      <w:sz w:val="44"/>
      <w:szCs w:val="44"/>
    </w:rPr>
  </w:style>
  <w:style w:type="character" w:customStyle="1" w:styleId="Heading2Char">
    <w:name w:val="Heading 2 Char"/>
    <w:basedOn w:val="DefaultParagraphFont"/>
    <w:link w:val="Heading2"/>
    <w:uiPriority w:val="99"/>
    <w:semiHidden/>
    <w:locked/>
    <w:rsid w:val="002C5D48"/>
    <w:rPr>
      <w:rFonts w:ascii="Cambria" w:eastAsia="宋体" w:hAnsi="Cambria" w:cs="Times New Roman"/>
      <w:b/>
      <w:bCs/>
      <w:sz w:val="32"/>
      <w:szCs w:val="32"/>
    </w:rPr>
  </w:style>
  <w:style w:type="paragraph" w:styleId="Footer">
    <w:name w:val="footer"/>
    <w:basedOn w:val="Normal"/>
    <w:link w:val="FooterChar"/>
    <w:uiPriority w:val="99"/>
    <w:rsid w:val="002C5D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C5D48"/>
    <w:rPr>
      <w:rFonts w:cs="Times New Roman"/>
      <w:sz w:val="18"/>
      <w:szCs w:val="18"/>
    </w:rPr>
  </w:style>
  <w:style w:type="paragraph" w:styleId="Header">
    <w:name w:val="header"/>
    <w:basedOn w:val="Normal"/>
    <w:link w:val="HeaderChar"/>
    <w:uiPriority w:val="99"/>
    <w:rsid w:val="002C5D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C5D48"/>
    <w:rPr>
      <w:rFonts w:cs="Times New Roman"/>
      <w:sz w:val="18"/>
      <w:szCs w:val="18"/>
    </w:rPr>
  </w:style>
  <w:style w:type="paragraph" w:styleId="NormalWeb">
    <w:name w:val="Normal (Web)"/>
    <w:basedOn w:val="Normal"/>
    <w:uiPriority w:val="99"/>
    <w:rsid w:val="002C5D48"/>
    <w:pPr>
      <w:spacing w:before="100" w:beforeAutospacing="1" w:after="100" w:afterAutospacing="1"/>
      <w:jc w:val="left"/>
    </w:pPr>
    <w:rPr>
      <w:kern w:val="0"/>
      <w:sz w:val="24"/>
    </w:rPr>
  </w:style>
  <w:style w:type="character" w:styleId="PageNumber">
    <w:name w:val="page number"/>
    <w:basedOn w:val="DefaultParagraphFont"/>
    <w:uiPriority w:val="99"/>
    <w:rsid w:val="002C5D48"/>
    <w:rPr>
      <w:rFonts w:cs="Times New Roman"/>
    </w:rPr>
  </w:style>
  <w:style w:type="character" w:styleId="Hyperlink">
    <w:name w:val="Hyperlink"/>
    <w:basedOn w:val="DefaultParagraphFont"/>
    <w:uiPriority w:val="99"/>
    <w:rsid w:val="002C5D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7</Pages>
  <Words>473</Words>
  <Characters>2702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15</cp:revision>
  <cp:lastPrinted>2022-07-19T08:58:00Z</cp:lastPrinted>
  <dcterms:created xsi:type="dcterms:W3CDTF">2019-10-22T09:36:00Z</dcterms:created>
  <dcterms:modified xsi:type="dcterms:W3CDTF">2022-07-19T09:00:00Z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67E3248CEC784A3294EF1A4E995D0F90</vt:lpwstr>
  </property>
</Properties>
</file>