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仿宋_GB2312"/>
          <w:bCs/>
          <w:color w:val="auto"/>
          <w:sz w:val="32"/>
          <w:szCs w:val="32"/>
        </w:rPr>
        <w:t>6</w:t>
      </w:r>
    </w:p>
    <w:p>
      <w:pPr>
        <w:spacing w:line="580" w:lineRule="exact"/>
        <w:jc w:val="center"/>
        <w:rPr>
          <w:rFonts w:ascii="方正小标宋简体" w:hAnsi="微软雅黑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auto"/>
          <w:sz w:val="44"/>
          <w:szCs w:val="44"/>
        </w:rPr>
        <w:t>曲靖医学高等专科学校</w:t>
      </w:r>
      <w:r>
        <w:rPr>
          <w:rFonts w:ascii="方正小标宋简体" w:hAnsi="微软雅黑" w:eastAsia="方正小标宋简体" w:cs="宋体"/>
          <w:color w:val="auto"/>
          <w:sz w:val="44"/>
          <w:szCs w:val="44"/>
        </w:rPr>
        <w:t>2022</w:t>
      </w:r>
      <w:r>
        <w:rPr>
          <w:rFonts w:hint="eastAsia" w:ascii="方正小标宋简体" w:hAnsi="微软雅黑" w:eastAsia="方正小标宋简体" w:cs="宋体"/>
          <w:color w:val="auto"/>
          <w:sz w:val="44"/>
          <w:szCs w:val="44"/>
        </w:rPr>
        <w:t>年</w:t>
      </w:r>
    </w:p>
    <w:p>
      <w:pPr>
        <w:spacing w:line="580" w:lineRule="exact"/>
        <w:jc w:val="center"/>
        <w:rPr>
          <w:rFonts w:ascii="方正小标宋简体" w:hAnsi="微软雅黑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auto"/>
          <w:sz w:val="44"/>
          <w:szCs w:val="44"/>
        </w:rPr>
        <w:t>教育人才与医疗卫生人才专项岗位计划表</w:t>
      </w:r>
    </w:p>
    <w:p>
      <w:pPr>
        <w:pStyle w:val="2"/>
        <w:rPr>
          <w:color w:val="auto"/>
        </w:rPr>
      </w:pPr>
    </w:p>
    <w:tbl>
      <w:tblPr>
        <w:tblStyle w:val="13"/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908"/>
        <w:gridCol w:w="659"/>
        <w:gridCol w:w="579"/>
        <w:gridCol w:w="1143"/>
        <w:gridCol w:w="783"/>
        <w:gridCol w:w="790"/>
        <w:gridCol w:w="773"/>
        <w:gridCol w:w="6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3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计划人数</w:t>
            </w:r>
          </w:p>
        </w:tc>
        <w:tc>
          <w:tcPr>
            <w:tcW w:w="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学历性质</w:t>
            </w:r>
          </w:p>
        </w:tc>
        <w:tc>
          <w:tcPr>
            <w:tcW w:w="6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4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1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医学技术学或口腔医学类</w:t>
            </w:r>
          </w:p>
        </w:tc>
        <w:tc>
          <w:tcPr>
            <w:tcW w:w="37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硕士研究生及以上</w:t>
            </w:r>
          </w:p>
        </w:tc>
        <w:tc>
          <w:tcPr>
            <w:tcW w:w="44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硕士及以上</w:t>
            </w:r>
          </w:p>
        </w:tc>
        <w:tc>
          <w:tcPr>
            <w:tcW w:w="446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硕士研究生</w:t>
            </w:r>
            <w:r>
              <w:rPr>
                <w:rFonts w:cs="宋体" w:asciiTheme="minorEastAsia" w:hAnsiTheme="minorEastAsia"/>
                <w:color w:val="auto"/>
                <w:szCs w:val="21"/>
              </w:rPr>
              <w:t>40</w:t>
            </w: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周岁以内；博士研究生</w:t>
            </w:r>
            <w:r>
              <w:rPr>
                <w:rFonts w:cs="宋体" w:asciiTheme="minorEastAsia" w:hAnsiTheme="minorEastAsia"/>
                <w:color w:val="auto"/>
                <w:szCs w:val="21"/>
              </w:rPr>
              <w:t>45</w:t>
            </w: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周岁以内。</w:t>
            </w:r>
          </w:p>
        </w:tc>
        <w:tc>
          <w:tcPr>
            <w:tcW w:w="436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2022年</w:t>
            </w: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应届毕业（</w:t>
            </w:r>
            <w:r>
              <w:rPr>
                <w:rFonts w:cs="宋体" w:asciiTheme="minorEastAsia" w:hAnsiTheme="minorEastAsia"/>
                <w:color w:val="auto"/>
                <w:szCs w:val="21"/>
              </w:rPr>
              <w:t>含择业期内未落实工作单位的2020年、2021年高校毕业生</w:t>
            </w: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）</w:t>
            </w:r>
          </w:p>
        </w:tc>
        <w:tc>
          <w:tcPr>
            <w:tcW w:w="375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医疗卫生人才引进范围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2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眼科学或眼视光学类</w:t>
            </w:r>
          </w:p>
        </w:tc>
        <w:tc>
          <w:tcPr>
            <w:tcW w:w="37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硕士研究生及以上</w:t>
            </w:r>
          </w:p>
        </w:tc>
        <w:tc>
          <w:tcPr>
            <w:tcW w:w="44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硕士及以上</w:t>
            </w:r>
          </w:p>
        </w:tc>
        <w:tc>
          <w:tcPr>
            <w:tcW w:w="446" w:type="pct"/>
            <w:vMerge w:val="continue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3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临床医学类或护理学类</w:t>
            </w:r>
          </w:p>
        </w:tc>
        <w:tc>
          <w:tcPr>
            <w:tcW w:w="37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硕士研究生及以上</w:t>
            </w:r>
          </w:p>
        </w:tc>
        <w:tc>
          <w:tcPr>
            <w:tcW w:w="44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4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肿瘤学或放射治疗类</w:t>
            </w:r>
          </w:p>
        </w:tc>
        <w:tc>
          <w:tcPr>
            <w:tcW w:w="37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硕士研究生及以上</w:t>
            </w:r>
          </w:p>
        </w:tc>
        <w:tc>
          <w:tcPr>
            <w:tcW w:w="44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5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公共卫生与预防医学类</w:t>
            </w:r>
          </w:p>
        </w:tc>
        <w:tc>
          <w:tcPr>
            <w:tcW w:w="37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2</w:t>
            </w:r>
          </w:p>
        </w:tc>
        <w:tc>
          <w:tcPr>
            <w:tcW w:w="327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硕士研究生及以上</w:t>
            </w:r>
          </w:p>
        </w:tc>
        <w:tc>
          <w:tcPr>
            <w:tcW w:w="44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6</w:t>
            </w:r>
          </w:p>
        </w:tc>
        <w:tc>
          <w:tcPr>
            <w:tcW w:w="1641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中医学类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7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基础医学类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8</w:t>
            </w:r>
          </w:p>
        </w:tc>
        <w:tc>
          <w:tcPr>
            <w:tcW w:w="164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药学或中药学类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9</w:t>
            </w:r>
          </w:p>
        </w:tc>
        <w:tc>
          <w:tcPr>
            <w:tcW w:w="164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心理学类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restart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硕士研究生</w:t>
            </w:r>
            <w:r>
              <w:rPr>
                <w:rFonts w:cs="宋体" w:asciiTheme="minorEastAsia" w:hAnsiTheme="minorEastAsia"/>
                <w:color w:val="auto"/>
                <w:szCs w:val="21"/>
              </w:rPr>
              <w:t>30</w:t>
            </w: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周岁以内；博士研究生</w:t>
            </w:r>
            <w:r>
              <w:rPr>
                <w:rFonts w:cs="宋体" w:asciiTheme="minorEastAsia" w:hAnsiTheme="minorEastAsia"/>
                <w:color w:val="auto"/>
                <w:szCs w:val="21"/>
              </w:rPr>
              <w:t>35</w:t>
            </w: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周岁以内。</w:t>
            </w:r>
          </w:p>
        </w:tc>
        <w:tc>
          <w:tcPr>
            <w:tcW w:w="436" w:type="pct"/>
            <w:vMerge w:val="restart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2022年</w:t>
            </w: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应届毕业（</w:t>
            </w:r>
            <w:r>
              <w:rPr>
                <w:rFonts w:cs="宋体" w:asciiTheme="minorEastAsia" w:hAnsiTheme="minorEastAsia"/>
                <w:color w:val="auto"/>
                <w:szCs w:val="21"/>
              </w:rPr>
              <w:t>含择业期内未落实工作单位的2020年、2021年高校毕业生</w:t>
            </w: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）</w:t>
            </w:r>
          </w:p>
        </w:tc>
        <w:tc>
          <w:tcPr>
            <w:tcW w:w="375" w:type="pct"/>
            <w:vMerge w:val="restart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教育人才引进范围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10</w:t>
            </w:r>
          </w:p>
        </w:tc>
        <w:tc>
          <w:tcPr>
            <w:tcW w:w="164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市场营销或工商管理类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11</w:t>
            </w:r>
          </w:p>
        </w:tc>
        <w:tc>
          <w:tcPr>
            <w:tcW w:w="164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计算机或通信工程类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12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法学或思政课类</w:t>
            </w:r>
          </w:p>
        </w:tc>
        <w:tc>
          <w:tcPr>
            <w:tcW w:w="37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2</w:t>
            </w:r>
          </w:p>
        </w:tc>
        <w:tc>
          <w:tcPr>
            <w:tcW w:w="327" w:type="pct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13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教育学类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14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园艺学或林学类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15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建筑学类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  <w:r>
              <w:rPr>
                <w:rFonts w:ascii="微软雅黑" w:hAnsi="微软雅黑" w:eastAsia="微软雅黑" w:cs="宋体"/>
                <w:color w:val="auto"/>
                <w:szCs w:val="21"/>
              </w:rPr>
              <w:t>16</w:t>
            </w:r>
          </w:p>
        </w:tc>
        <w:tc>
          <w:tcPr>
            <w:tcW w:w="1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  <w:u w:val="wav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u w:val="wave"/>
              </w:rPr>
              <w:t>文学或管理学类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全日制</w:t>
            </w:r>
          </w:p>
        </w:tc>
        <w:tc>
          <w:tcPr>
            <w:tcW w:w="64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博士研究生及以上</w:t>
            </w:r>
          </w:p>
        </w:tc>
        <w:tc>
          <w:tcPr>
            <w:tcW w:w="44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博士及以上</w:t>
            </w:r>
          </w:p>
        </w:tc>
        <w:tc>
          <w:tcPr>
            <w:tcW w:w="446" w:type="pct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  <w:tc>
          <w:tcPr>
            <w:tcW w:w="375" w:type="pct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372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auto"/>
                <w:sz w:val="28"/>
                <w:szCs w:val="28"/>
              </w:rPr>
              <w:t>18</w:t>
            </w:r>
          </w:p>
        </w:tc>
        <w:tc>
          <w:tcPr>
            <w:tcW w:w="327" w:type="pc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645" w:type="pc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442" w:type="pc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446" w:type="pc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436" w:type="pc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color w:val="auto"/>
                <w:sz w:val="20"/>
              </w:rPr>
            </w:pPr>
          </w:p>
        </w:tc>
      </w:tr>
    </w:tbl>
    <w:p>
      <w:pPr>
        <w:jc w:val="left"/>
        <w:rPr>
          <w:rFonts w:ascii="Calibri" w:hAnsi="Calibri" w:eastAsia="仿宋" w:cstheme="minorBidi"/>
          <w:color w:val="auto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985" w:right="1474" w:bottom="164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4"/>
        <w:szCs w:val="24"/>
      </w:rPr>
    </w:pPr>
    <w:r>
      <w:rPr>
        <w:rStyle w:val="16"/>
        <w:rFonts w:hint="eastAsia" w:ascii="宋体" w:hAnsi="宋体"/>
        <w:sz w:val="24"/>
        <w:szCs w:val="24"/>
      </w:rPr>
      <w:t>—</w:t>
    </w: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1</w:t>
    </w:r>
    <w:r>
      <w:rPr>
        <w:rStyle w:val="16"/>
        <w:rFonts w:ascii="宋体" w:hAnsi="宋体"/>
        <w:sz w:val="28"/>
        <w:szCs w:val="28"/>
      </w:rPr>
      <w:fldChar w:fldCharType="end"/>
    </w:r>
    <w:r>
      <w:rPr>
        <w:rStyle w:val="16"/>
        <w:rFonts w:hint="eastAsia" w:ascii="宋体" w:hAnsi="宋体"/>
        <w:sz w:val="24"/>
        <w:szCs w:val="24"/>
      </w:rPr>
      <w:t>—</w:t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6"/>
    <w:rsid w:val="000174E9"/>
    <w:rsid w:val="00042495"/>
    <w:rsid w:val="0009042F"/>
    <w:rsid w:val="000D2B5D"/>
    <w:rsid w:val="00130576"/>
    <w:rsid w:val="00140E3B"/>
    <w:rsid w:val="00151AF5"/>
    <w:rsid w:val="001B55C8"/>
    <w:rsid w:val="001C0BB8"/>
    <w:rsid w:val="001E54CB"/>
    <w:rsid w:val="0020036E"/>
    <w:rsid w:val="00226234"/>
    <w:rsid w:val="002D2F26"/>
    <w:rsid w:val="00314048"/>
    <w:rsid w:val="0032456A"/>
    <w:rsid w:val="003350EE"/>
    <w:rsid w:val="00341AF2"/>
    <w:rsid w:val="00345E13"/>
    <w:rsid w:val="00352F28"/>
    <w:rsid w:val="003B0AEC"/>
    <w:rsid w:val="003B2167"/>
    <w:rsid w:val="003E63EE"/>
    <w:rsid w:val="00487A08"/>
    <w:rsid w:val="004910B5"/>
    <w:rsid w:val="00493C2A"/>
    <w:rsid w:val="004E1951"/>
    <w:rsid w:val="005029E2"/>
    <w:rsid w:val="005060D2"/>
    <w:rsid w:val="005408CD"/>
    <w:rsid w:val="00562D7C"/>
    <w:rsid w:val="00572B0B"/>
    <w:rsid w:val="005A526A"/>
    <w:rsid w:val="006C2CAC"/>
    <w:rsid w:val="006E0E2A"/>
    <w:rsid w:val="00703811"/>
    <w:rsid w:val="007560D5"/>
    <w:rsid w:val="007D21DF"/>
    <w:rsid w:val="008D57B1"/>
    <w:rsid w:val="009143B1"/>
    <w:rsid w:val="00934513"/>
    <w:rsid w:val="009B08DC"/>
    <w:rsid w:val="00A02ABE"/>
    <w:rsid w:val="00A4185F"/>
    <w:rsid w:val="00A81830"/>
    <w:rsid w:val="00A875E0"/>
    <w:rsid w:val="00B12DB2"/>
    <w:rsid w:val="00B43F9A"/>
    <w:rsid w:val="00B63891"/>
    <w:rsid w:val="00B859C2"/>
    <w:rsid w:val="00BA11E7"/>
    <w:rsid w:val="00BE7895"/>
    <w:rsid w:val="00C338E1"/>
    <w:rsid w:val="00C83046"/>
    <w:rsid w:val="00CF2CC9"/>
    <w:rsid w:val="00D300F6"/>
    <w:rsid w:val="00D4261A"/>
    <w:rsid w:val="00D94974"/>
    <w:rsid w:val="00E04DA5"/>
    <w:rsid w:val="00E51A99"/>
    <w:rsid w:val="00F132BC"/>
    <w:rsid w:val="00F33982"/>
    <w:rsid w:val="00F42E44"/>
    <w:rsid w:val="00F94D8B"/>
    <w:rsid w:val="00FB2F94"/>
    <w:rsid w:val="00FC74C2"/>
    <w:rsid w:val="00FD2AEF"/>
    <w:rsid w:val="016A5229"/>
    <w:rsid w:val="02461DFC"/>
    <w:rsid w:val="02EC75C5"/>
    <w:rsid w:val="04871AF7"/>
    <w:rsid w:val="05DB1DB6"/>
    <w:rsid w:val="079509EB"/>
    <w:rsid w:val="09BD3C9D"/>
    <w:rsid w:val="0A6776B9"/>
    <w:rsid w:val="0D7A2220"/>
    <w:rsid w:val="0DBA4ACC"/>
    <w:rsid w:val="0EFE401D"/>
    <w:rsid w:val="11F0177A"/>
    <w:rsid w:val="1B561B96"/>
    <w:rsid w:val="1CD038E1"/>
    <w:rsid w:val="21586385"/>
    <w:rsid w:val="22430DD7"/>
    <w:rsid w:val="22722F87"/>
    <w:rsid w:val="232A5017"/>
    <w:rsid w:val="256F3899"/>
    <w:rsid w:val="25B004FE"/>
    <w:rsid w:val="26D20FF7"/>
    <w:rsid w:val="27B417F2"/>
    <w:rsid w:val="283B3443"/>
    <w:rsid w:val="28DD5D1A"/>
    <w:rsid w:val="2A6A6D5E"/>
    <w:rsid w:val="2ADC4481"/>
    <w:rsid w:val="2BC71340"/>
    <w:rsid w:val="2F14344A"/>
    <w:rsid w:val="311D66AC"/>
    <w:rsid w:val="32E85E5A"/>
    <w:rsid w:val="361D4823"/>
    <w:rsid w:val="36E02C5E"/>
    <w:rsid w:val="3732053E"/>
    <w:rsid w:val="37C822D5"/>
    <w:rsid w:val="383C3511"/>
    <w:rsid w:val="387F4300"/>
    <w:rsid w:val="3B1D1E78"/>
    <w:rsid w:val="3B244387"/>
    <w:rsid w:val="3CA26FAA"/>
    <w:rsid w:val="3D8D0825"/>
    <w:rsid w:val="3E06228D"/>
    <w:rsid w:val="3E1475AA"/>
    <w:rsid w:val="3E5A19BC"/>
    <w:rsid w:val="3E743351"/>
    <w:rsid w:val="3FF15C81"/>
    <w:rsid w:val="43187267"/>
    <w:rsid w:val="43775445"/>
    <w:rsid w:val="4B4B5931"/>
    <w:rsid w:val="4C4917F2"/>
    <w:rsid w:val="4C7D362F"/>
    <w:rsid w:val="515626A1"/>
    <w:rsid w:val="52FC19F2"/>
    <w:rsid w:val="54071205"/>
    <w:rsid w:val="542E1C45"/>
    <w:rsid w:val="547576B9"/>
    <w:rsid w:val="555F50ED"/>
    <w:rsid w:val="56F96516"/>
    <w:rsid w:val="58D7079C"/>
    <w:rsid w:val="5DD9045F"/>
    <w:rsid w:val="5F0E2942"/>
    <w:rsid w:val="5FA82319"/>
    <w:rsid w:val="60A57A64"/>
    <w:rsid w:val="66390956"/>
    <w:rsid w:val="68D25945"/>
    <w:rsid w:val="6AC344EC"/>
    <w:rsid w:val="6B6375F0"/>
    <w:rsid w:val="6C7653F0"/>
    <w:rsid w:val="6E0102B8"/>
    <w:rsid w:val="6E717F7B"/>
    <w:rsid w:val="714439F3"/>
    <w:rsid w:val="71BF0FEC"/>
    <w:rsid w:val="727C0DF2"/>
    <w:rsid w:val="732F42C1"/>
    <w:rsid w:val="77DF29A9"/>
    <w:rsid w:val="78701AB0"/>
    <w:rsid w:val="7A3B286B"/>
    <w:rsid w:val="7BC920F1"/>
    <w:rsid w:val="7BEE3352"/>
    <w:rsid w:val="7F966068"/>
    <w:rsid w:val="7FD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link w:val="25"/>
    <w:unhideWhenUsed/>
    <w:qFormat/>
    <w:uiPriority w:val="99"/>
    <w:pPr>
      <w:widowControl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Cs w:val="22"/>
    </w:rPr>
  </w:style>
  <w:style w:type="paragraph" w:styleId="5">
    <w:name w:val="Body Text"/>
    <w:basedOn w:val="1"/>
    <w:next w:val="6"/>
    <w:link w:val="27"/>
    <w:qFormat/>
    <w:uiPriority w:val="99"/>
    <w:rPr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sz w:val="21"/>
      <w:szCs w:val="22"/>
      <w:lang w:val="en-US" w:eastAsia="zh-CN" w:bidi="ar-SA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31"/>
    <w:qFormat/>
    <w:uiPriority w:val="99"/>
    <w:rPr>
      <w:sz w:val="18"/>
      <w:szCs w:val="18"/>
    </w:rPr>
  </w:style>
  <w:style w:type="paragraph" w:styleId="9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12">
    <w:name w:val="annotation subject"/>
    <w:basedOn w:val="4"/>
    <w:next w:val="4"/>
    <w:link w:val="26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paragraph" w:customStyle="1" w:styleId="20">
    <w:name w:val="Char Char Char Char"/>
    <w:basedOn w:val="3"/>
    <w:qFormat/>
    <w:uiPriority w:val="0"/>
    <w:pPr>
      <w:widowControl w:val="0"/>
      <w:spacing w:line="240" w:lineRule="auto"/>
      <w:textAlignment w:val="auto"/>
    </w:pPr>
    <w:rPr>
      <w:rFonts w:ascii="Tahoma" w:hAnsi="Tahoma"/>
      <w:color w:val="auto"/>
      <w:kern w:val="2"/>
      <w:sz w:val="24"/>
      <w:szCs w:val="24"/>
    </w:rPr>
  </w:style>
  <w:style w:type="paragraph" w:styleId="21">
    <w:name w:val="List Paragraph"/>
    <w:basedOn w:val="1"/>
    <w:qFormat/>
    <w:uiPriority w:val="34"/>
    <w:pPr>
      <w:widowControl w:val="0"/>
      <w:spacing w:line="240" w:lineRule="auto"/>
      <w:ind w:firstLine="420" w:firstLineChars="200"/>
      <w:textAlignment w:val="auto"/>
    </w:pPr>
    <w:rPr>
      <w:rFonts w:ascii="Calibri" w:hAnsi="Calibri" w:cs="宋体"/>
      <w:color w:val="auto"/>
      <w:kern w:val="2"/>
      <w:szCs w:val="22"/>
    </w:rPr>
  </w:style>
  <w:style w:type="character" w:customStyle="1" w:styleId="22">
    <w:name w:val="font01"/>
    <w:basedOn w:val="1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3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25">
    <w:name w:val="批注文字 字符"/>
    <w:basedOn w:val="15"/>
    <w:link w:val="4"/>
    <w:qFormat/>
    <w:uiPriority w:val="99"/>
    <w:rPr>
      <w:kern w:val="2"/>
      <w:sz w:val="21"/>
      <w:szCs w:val="22"/>
    </w:rPr>
  </w:style>
  <w:style w:type="character" w:customStyle="1" w:styleId="26">
    <w:name w:val="批注主题 字符"/>
    <w:basedOn w:val="25"/>
    <w:link w:val="12"/>
    <w:qFormat/>
    <w:uiPriority w:val="99"/>
    <w:rPr>
      <w:b/>
      <w:bCs/>
      <w:kern w:val="2"/>
      <w:sz w:val="21"/>
      <w:szCs w:val="22"/>
    </w:rPr>
  </w:style>
  <w:style w:type="character" w:customStyle="1" w:styleId="27">
    <w:name w:val="正文文本 字符"/>
    <w:basedOn w:val="15"/>
    <w:link w:val="5"/>
    <w:qFormat/>
    <w:uiPriority w:val="99"/>
    <w:rPr>
      <w:rFonts w:ascii="Times New Roman" w:hAnsi="Times New Roman" w:eastAsia="宋体" w:cs="Times New Roman"/>
      <w:color w:val="000000"/>
      <w:sz w:val="24"/>
      <w:u w:color="000000"/>
    </w:rPr>
  </w:style>
  <w:style w:type="character" w:customStyle="1" w:styleId="28">
    <w:name w:val="页眉 字符"/>
    <w:basedOn w:val="15"/>
    <w:link w:val="10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character" w:customStyle="1" w:styleId="29">
    <w:name w:val="页脚 字符"/>
    <w:basedOn w:val="15"/>
    <w:link w:val="9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0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jc w:val="left"/>
      <w:textAlignment w:val="auto"/>
    </w:pPr>
    <w:rPr>
      <w:rFonts w:ascii="仿宋_GB2312" w:hAnsi="仿宋_GB2312" w:eastAsia="仿宋_GB2312" w:cs="仿宋_GB2312"/>
      <w:color w:val="auto"/>
      <w:sz w:val="22"/>
      <w:szCs w:val="22"/>
      <w:lang w:val="zh-CN" w:bidi="zh-CN"/>
    </w:rPr>
  </w:style>
  <w:style w:type="character" w:customStyle="1" w:styleId="31">
    <w:name w:val="批注框文本 字符"/>
    <w:basedOn w:val="15"/>
    <w:link w:val="8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2">
    <w:name w:val="Char"/>
    <w:basedOn w:val="1"/>
    <w:qFormat/>
    <w:uiPriority w:val="0"/>
    <w:pPr>
      <w:widowControl w:val="0"/>
      <w:spacing w:line="365" w:lineRule="atLeast"/>
      <w:ind w:left="1"/>
      <w:textAlignment w:val="auto"/>
    </w:pPr>
    <w:rPr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D6591-4140-4EDE-9266-DE9411902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1546</Words>
  <Characters>8814</Characters>
  <Lines>73</Lines>
  <Paragraphs>20</Paragraphs>
  <TotalTime>19</TotalTime>
  <ScaleCrop>false</ScaleCrop>
  <LinksUpToDate>false</LinksUpToDate>
  <CharactersWithSpaces>10340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2022-08-12T02:11:00Z</dcterms:created>
  <dc:creator>人事处</dc:creator>
  <cp:lastModifiedBy>Administrator</cp:lastModifiedBy>
  <cp:lastPrinted>2022-08-12T06:23:00Z</cp:lastPrinted>
  <dcterms:modified xsi:type="dcterms:W3CDTF">2022-08-15T03:02:46Z</dcterms:modified>
  <dc:title>关于孔德健同志退休的请示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9A41AF290D1E41F8822AF6ABEC019B83</vt:lpwstr>
  </property>
</Properties>
</file>