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黑体"/>
          <w:szCs w:val="44"/>
        </w:rPr>
      </w:pPr>
      <w:r>
        <w:rPr>
          <w:rFonts w:hint="eastAsia" w:eastAsia="黑体"/>
          <w:szCs w:val="44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b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东莞市</w:t>
      </w:r>
      <w:r>
        <w:rPr>
          <w:rFonts w:eastAsia="方正小标宋简体"/>
          <w:sz w:val="36"/>
          <w:szCs w:val="36"/>
        </w:rPr>
        <w:t>2022</w:t>
      </w:r>
      <w:r>
        <w:rPr>
          <w:rFonts w:hint="eastAsia" w:ascii="方正小标宋简体" w:eastAsia="方正小标宋简体"/>
          <w:sz w:val="36"/>
          <w:szCs w:val="36"/>
        </w:rPr>
        <w:t>年镇街（园区）基层公共就业创业服务公开招募岗位信息表</w:t>
      </w:r>
      <w:bookmarkEnd w:id="0"/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2785"/>
        <w:gridCol w:w="774"/>
        <w:gridCol w:w="773"/>
        <w:gridCol w:w="774"/>
        <w:gridCol w:w="2709"/>
        <w:gridCol w:w="1429"/>
        <w:gridCol w:w="3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78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774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岗位代码</w:t>
            </w:r>
          </w:p>
        </w:tc>
        <w:tc>
          <w:tcPr>
            <w:tcW w:w="77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岗位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27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岗位职责</w:t>
            </w:r>
          </w:p>
        </w:tc>
        <w:tc>
          <w:tcPr>
            <w:tcW w:w="53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招聘对象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东莞市人力资源服务中心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7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公共就业创业服务岗位</w:t>
            </w:r>
          </w:p>
        </w:tc>
        <w:tc>
          <w:tcPr>
            <w:tcW w:w="2709" w:type="dxa"/>
            <w:vMerge w:val="restart"/>
            <w:noWrap w:val="0"/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1.协助开展就业、失业登记和就业困难人员认定工作，重点群体就业联系跟踪服务工作;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2.协助开展职业介绍、职业指导、创业服务等相关工作;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3.协助开展就业创业补贴申领发放工作;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4.协助开展公益性岗位、就业见习相关工作;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5.协助开展就业信息收集、调查和分析相关工作;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6.协助开展其他就业创业相关工作。</w:t>
            </w:r>
          </w:p>
        </w:tc>
        <w:tc>
          <w:tcPr>
            <w:tcW w:w="1429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大专及以上学历，不限专业。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restart"/>
            <w:noWrap w:val="0"/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一、基本条件</w:t>
            </w:r>
          </w:p>
          <w:p>
            <w:pPr>
              <w:spacing w:line="24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1.具有中华人民共和国国籍；</w:t>
            </w:r>
          </w:p>
          <w:p>
            <w:pPr>
              <w:spacing w:line="24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2.拥护中华人民共和国宪法，拥护中国共产党领导和社会主义制度；</w:t>
            </w:r>
          </w:p>
          <w:p>
            <w:pPr>
              <w:spacing w:line="24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3.具有良好的政治素质和道德品行；</w:t>
            </w:r>
          </w:p>
          <w:p>
            <w:pPr>
              <w:spacing w:line="24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4.具有满足履行岗位职责的身体条件和工作能力；</w:t>
            </w:r>
          </w:p>
          <w:p>
            <w:pPr>
              <w:spacing w:line="24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5.属</w:t>
            </w:r>
            <w:r>
              <w:rPr>
                <w:sz w:val="18"/>
                <w:szCs w:val="18"/>
              </w:rPr>
              <w:t>毕业2年以内</w:t>
            </w:r>
            <w:r>
              <w:rPr>
                <w:rFonts w:hint="eastAsia"/>
                <w:sz w:val="18"/>
                <w:szCs w:val="18"/>
              </w:rPr>
              <w:t>的广东高校或广东生源全日制困难</w:t>
            </w:r>
            <w:r>
              <w:rPr>
                <w:sz w:val="18"/>
                <w:szCs w:val="18"/>
              </w:rPr>
              <w:t>高校毕业生</w:t>
            </w:r>
            <w:r>
              <w:rPr>
                <w:rFonts w:hint="eastAsia"/>
                <w:sz w:val="18"/>
                <w:szCs w:val="18"/>
              </w:rPr>
              <w:t>（即2021届至2022届）。</w:t>
            </w:r>
          </w:p>
          <w:p>
            <w:pPr>
              <w:spacing w:line="240" w:lineRule="exact"/>
              <w:ind w:firstLine="360" w:firstLineChars="20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二、困难高校毕业生（具备以下情况之一）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1.属城乡困难家庭成员；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2.经残疾</w:t>
            </w:r>
            <w:r>
              <w:rPr>
                <w:rFonts w:hint="eastAsia"/>
                <w:sz w:val="18"/>
                <w:szCs w:val="18"/>
              </w:rPr>
              <w:t>等级</w:t>
            </w:r>
            <w:r>
              <w:rPr>
                <w:sz w:val="18"/>
                <w:szCs w:val="18"/>
              </w:rPr>
              <w:t>评定机构评定为残疾的；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3.办理失业登记手续1年以上仍未就业的；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4.被认定为就业困难人员的。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东莞市职业介绍服务中心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中堂镇人力资源服务中心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望牛墩镇人力资源服务中心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道滘镇人力资源服务中心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洪梅镇人力资源服务中心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麻涌镇人力资源服务中心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厚街镇人力资源服务中心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沙田镇人力资源服务中心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长安镇人力资源服务中心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寮步镇人力资源服务中心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大岭山镇人力资源服务中心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大朗镇人力资源服务中心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黄江镇人力资源服务中心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樟木头镇人力资源服务中心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78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774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77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岗位代码</w:t>
            </w:r>
          </w:p>
        </w:tc>
        <w:tc>
          <w:tcPr>
            <w:tcW w:w="77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岗位</w:t>
            </w:r>
          </w:p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27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岗位职责</w:t>
            </w:r>
          </w:p>
        </w:tc>
        <w:tc>
          <w:tcPr>
            <w:tcW w:w="53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招聘对象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凤岗镇人力资源服务中心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7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公共就业创业服务岗位</w:t>
            </w:r>
          </w:p>
        </w:tc>
        <w:tc>
          <w:tcPr>
            <w:tcW w:w="2709" w:type="dxa"/>
            <w:vMerge w:val="restart"/>
            <w:noWrap w:val="0"/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1.协助开展就业、失业登记和就业困难人员认定工作，重点群体就业联系跟踪服务工作;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2.协助开展职业介绍、职业指导、创业服务等相关工作;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3.协助开展就业创业补贴申领发放工作;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4.协助开展公益性岗位、就业见习相关工作;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5.协助开展就业信息收集、调查和分析相关工作;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6.协助开展其他就业创业相关工作。</w:t>
            </w:r>
          </w:p>
        </w:tc>
        <w:tc>
          <w:tcPr>
            <w:tcW w:w="142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大专及以上学历，不限专业。</w:t>
            </w:r>
          </w:p>
        </w:tc>
        <w:tc>
          <w:tcPr>
            <w:tcW w:w="3876" w:type="dxa"/>
            <w:vMerge w:val="restart"/>
            <w:noWrap w:val="0"/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一、基本条件</w:t>
            </w:r>
          </w:p>
          <w:p>
            <w:pPr>
              <w:spacing w:line="24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1.具有中华人民共和国国籍；</w:t>
            </w:r>
          </w:p>
          <w:p>
            <w:pPr>
              <w:spacing w:line="24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2.拥护中华人民共和国宪法，拥护中国共产党领导和社会主义制度；</w:t>
            </w:r>
          </w:p>
          <w:p>
            <w:pPr>
              <w:spacing w:line="24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3.具有良好的政治素质和道德品行；</w:t>
            </w:r>
          </w:p>
          <w:p>
            <w:pPr>
              <w:spacing w:line="24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4.具有满足履行岗位职责的身体条件和工作能力；</w:t>
            </w:r>
          </w:p>
          <w:p>
            <w:pPr>
              <w:spacing w:line="24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5.属</w:t>
            </w:r>
            <w:r>
              <w:rPr>
                <w:sz w:val="18"/>
                <w:szCs w:val="18"/>
              </w:rPr>
              <w:t>毕业2年以内</w:t>
            </w:r>
            <w:r>
              <w:rPr>
                <w:rFonts w:hint="eastAsia"/>
                <w:sz w:val="18"/>
                <w:szCs w:val="18"/>
              </w:rPr>
              <w:t>的广东高校或广东生源全日制困难</w:t>
            </w:r>
            <w:r>
              <w:rPr>
                <w:sz w:val="18"/>
                <w:szCs w:val="18"/>
              </w:rPr>
              <w:t>高校毕业生</w:t>
            </w:r>
            <w:r>
              <w:rPr>
                <w:rFonts w:hint="eastAsia"/>
                <w:sz w:val="18"/>
                <w:szCs w:val="18"/>
              </w:rPr>
              <w:t>（即2021届至2022届）。</w:t>
            </w:r>
          </w:p>
          <w:p>
            <w:pPr>
              <w:spacing w:line="240" w:lineRule="exact"/>
              <w:ind w:firstLine="360" w:firstLineChars="20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二、困难高校毕业生（具备以下情况之一）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1.属城乡困难家庭成员；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2.经残疾</w:t>
            </w:r>
            <w:r>
              <w:rPr>
                <w:rFonts w:hint="eastAsia"/>
                <w:sz w:val="18"/>
                <w:szCs w:val="18"/>
              </w:rPr>
              <w:t>等级</w:t>
            </w:r>
            <w:r>
              <w:rPr>
                <w:sz w:val="18"/>
                <w:szCs w:val="18"/>
              </w:rPr>
              <w:t>评定机构评定为残疾的；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3.办理失业登记手续1年以上仍未就业的；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4.被认定为就业困难人员的。</w:t>
            </w:r>
          </w:p>
          <w:p>
            <w:pPr>
              <w:spacing w:line="240" w:lineRule="exact"/>
              <w:ind w:firstLine="360" w:firstLineChars="20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7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塘厦镇人力资源服务中心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谢岗镇人力资源服务中心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清溪镇人力资源服务中心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常平镇人力资源服务中心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7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桥头镇人力资源服务中心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横沥镇人力资源服务中心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东坑镇人力资源服务中心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企石镇人力资源服务中心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7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石排镇人力资源服务中心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7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茶山镇人力资源服务中心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石碣镇人力资源服务中心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高埗镇人力资源服务中心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莞城街道人力资源服务中心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万江街道人力资源服务中心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东城街道人力资源服务中心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南城街道人力资源服务中心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石龙镇人力资源服务中心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虎门镇人力资源服务中心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松山湖园区人力资源服务中心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600" w:lineRule="exact"/>
        <w:jc w:val="left"/>
        <w:rPr>
          <w:rFonts w:eastAsia="黑体"/>
          <w:szCs w:val="4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A79A0"/>
    <w:rsid w:val="2B2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character" w:styleId="6">
    <w:name w:val="page number"/>
    <w:qFormat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2022-09-16T02:58:00Z</dcterms:created>
  <dc:creator>hp</dc:creator>
  <cp:lastModifiedBy>hp</cp:lastModifiedBy>
  <dcterms:modified xsi:type="dcterms:W3CDTF">2022-09-16T02:59:56Z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