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left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1764" w:tblpY="1515"/>
        <w:tblOverlap w:val="never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960"/>
        <w:gridCol w:w="827"/>
        <w:gridCol w:w="621"/>
        <w:gridCol w:w="608"/>
        <w:gridCol w:w="608"/>
        <w:gridCol w:w="2658"/>
        <w:gridCol w:w="1418"/>
        <w:gridCol w:w="1680"/>
        <w:gridCol w:w="590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引才单位名称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</w:t>
            </w:r>
            <w:r>
              <w:rPr>
                <w:rFonts w:hint="eastAsia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来源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联系人及</w:t>
            </w: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001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中共资阳市委党校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中外政治制度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科学社会主义与国际共产主义运动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中共党史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国际政治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预备党员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18628826699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中共资阳市委党校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马克思主义中国化研究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中国近现代基本问题研究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预备党员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18628826699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sectPr>
          <w:pgSz w:w="16838" w:h="11906" w:orient="landscape"/>
          <w:pgMar w:top="1701" w:right="1417" w:bottom="1701" w:left="141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eastAsia="zh-CN"/>
        </w:rPr>
        <w:t>中共资阳市委党校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2022年度公开引进急需紧缺专业人才岗位和条件要求一览表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65277"/>
    <w:rsid w:val="47F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afterLines="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2022-11-02T07:59:00Z</dcterms:created>
  <dc:creator>Administrator</dc:creator>
  <cp:lastModifiedBy>Administrator</cp:lastModifiedBy>
  <dcterms:modified xsi:type="dcterms:W3CDTF">2022-11-02T07:59:29Z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