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  <w:lang w:val="en-US" w:eastAsia="zh-CN"/>
        </w:rPr>
        <w:t>附件：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浙江杭州建德市面向202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3届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普通高校毕业生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公开招聘医务人员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表</w:t>
      </w:r>
    </w:p>
    <w:tbl>
      <w:tblPr>
        <w:tblStyle w:val="5"/>
        <w:tblW w:w="94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425"/>
        <w:gridCol w:w="720"/>
        <w:gridCol w:w="735"/>
        <w:gridCol w:w="1215"/>
        <w:gridCol w:w="840"/>
        <w:gridCol w:w="2490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招聘范围（生源地或户籍）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建德市第一人民医院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急诊医学、内科学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须为专业型硕士（四证合一）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急诊医学、外科学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重症医学、内科学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儿科学、临床医学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外科学、中医骨伤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肿瘤放疗科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肿瘤学、临床医学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放射医学、影像医学与核医学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超声医学、影像医学与核医学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康复医学与理疗学、运动医学、中医学类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9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4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425"/>
        <w:gridCol w:w="720"/>
        <w:gridCol w:w="735"/>
        <w:gridCol w:w="1215"/>
        <w:gridCol w:w="840"/>
        <w:gridCol w:w="2490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建德市第二人民医院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临床医学、康复医学与理疗学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临床医学、骨科学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44" w:rightChars="-21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医学影像、医学影像学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建德市中西医结合医院李家分院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建德市中西医结合医院大同分院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针推科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建德市妇幼保健院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临床医学、儿科学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乳腺科1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乳腺科2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08FA3B36"/>
    <w:rsid w:val="08F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2022-11-24T08:24:00Z</dcterms:created>
  <dc:creator>小仙女</dc:creator>
  <cp:lastModifiedBy>小仙女</cp:lastModifiedBy>
  <dcterms:modified xsi:type="dcterms:W3CDTF">2022-11-24T08:24:39Z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CC16C809BAFD4D07B5DE918DE8B23ECE</vt:lpwstr>
  </property>
</Properties>
</file>