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textAlignment w:val="auto"/>
        <w:rPr>
          <w:rFonts w:hint="default"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附件1</w:t>
      </w:r>
    </w:p>
    <w:p>
      <w:pPr>
        <w:keepNext w:val="0"/>
        <w:keepLines w:val="0"/>
        <w:pageBreakBefore w:val="0"/>
        <w:kinsoku/>
        <w:wordWrap/>
        <w:overflowPunct/>
        <w:topLinePunct w:val="0"/>
        <w:autoSpaceDE/>
        <w:autoSpaceDN/>
        <w:bidi w:val="0"/>
        <w:jc w:val="center"/>
        <w:textAlignment w:val="auto"/>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lang w:eastAsia="zh-CN"/>
        </w:rPr>
        <w:fldChar w:fldCharType="begin"/>
      </w:r>
      <w:r>
        <w:rPr>
          <w:rFonts w:hint="eastAsia" w:ascii="方正小标宋简体" w:hAnsi="方正小标宋简体" w:eastAsia="方正小标宋简体" w:cs="方正小标宋简体"/>
          <w:color w:val="000000"/>
          <w:sz w:val="44"/>
          <w:szCs w:val="44"/>
          <w:highlight w:val="none"/>
          <w:lang w:eastAsia="zh-CN"/>
        </w:rPr>
        <w:instrText xml:space="preserve"> HYPERLINK "http://hrss.foshan.gov.cn/attachment/0/152/152047/4662695.doc" \t "http://hrss.foshan.gov.cn/zwgk/jgsydwzl/content/_blank" </w:instrText>
      </w:r>
      <w:r>
        <w:rPr>
          <w:rFonts w:hint="eastAsia" w:ascii="方正小标宋简体" w:hAnsi="方正小标宋简体" w:eastAsia="方正小标宋简体" w:cs="方正小标宋简体"/>
          <w:color w:val="000000"/>
          <w:sz w:val="44"/>
          <w:szCs w:val="44"/>
          <w:highlight w:val="none"/>
          <w:lang w:eastAsia="zh-CN"/>
        </w:rPr>
        <w:fldChar w:fldCharType="separate"/>
      </w:r>
      <w:r>
        <w:rPr>
          <w:rFonts w:hint="eastAsia" w:ascii="方正小标宋简体" w:hAnsi="方正小标宋简体" w:eastAsia="方正小标宋简体" w:cs="方正小标宋简体"/>
          <w:color w:val="000000"/>
          <w:sz w:val="44"/>
          <w:szCs w:val="44"/>
          <w:highlight w:val="none"/>
          <w:lang w:eastAsia="zh-CN"/>
        </w:rPr>
        <w:t>202</w:t>
      </w:r>
      <w:r>
        <w:rPr>
          <w:rFonts w:hint="eastAsia" w:ascii="方正小标宋简体" w:hAnsi="方正小标宋简体" w:eastAsia="方正小标宋简体" w:cs="方正小标宋简体"/>
          <w:color w:val="000000"/>
          <w:sz w:val="44"/>
          <w:szCs w:val="44"/>
          <w:highlight w:val="none"/>
          <w:lang w:val="en-US" w:eastAsia="zh-CN"/>
        </w:rPr>
        <w:t>2</w:t>
      </w:r>
      <w:r>
        <w:rPr>
          <w:rFonts w:hint="eastAsia" w:ascii="方正小标宋简体" w:hAnsi="方正小标宋简体" w:eastAsia="方正小标宋简体" w:cs="方正小标宋简体"/>
          <w:color w:val="000000"/>
          <w:sz w:val="44"/>
          <w:szCs w:val="44"/>
          <w:highlight w:val="none"/>
          <w:lang w:eastAsia="zh-CN"/>
        </w:rPr>
        <w:t>年高层次人才公开招聘岗位及岗位要求</w:t>
      </w:r>
      <w:r>
        <w:rPr>
          <w:rFonts w:hint="eastAsia" w:ascii="方正小标宋简体" w:hAnsi="方正小标宋简体" w:eastAsia="方正小标宋简体" w:cs="方正小标宋简体"/>
          <w:color w:val="000000"/>
          <w:sz w:val="44"/>
          <w:szCs w:val="44"/>
          <w:highlight w:val="none"/>
          <w:lang w:eastAsia="zh-CN"/>
        </w:rPr>
        <w:fldChar w:fldCharType="end"/>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743"/>
        <w:gridCol w:w="689"/>
        <w:gridCol w:w="1440"/>
        <w:gridCol w:w="1170"/>
        <w:gridCol w:w="2085"/>
        <w:gridCol w:w="2430"/>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76" w:type="dxa"/>
            <w:vMerge w:val="restart"/>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sz w:val="24"/>
                <w:szCs w:val="24"/>
                <w:highlight w:val="none"/>
                <w:vertAlign w:val="baseline"/>
                <w:lang w:val="en-US" w:eastAsia="zh-CN"/>
              </w:rPr>
              <w:t>岗位代码</w:t>
            </w:r>
          </w:p>
        </w:tc>
        <w:tc>
          <w:tcPr>
            <w:tcW w:w="1743" w:type="dxa"/>
            <w:vMerge w:val="restart"/>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sz w:val="24"/>
                <w:szCs w:val="24"/>
                <w:highlight w:val="none"/>
                <w:vertAlign w:val="baseline"/>
                <w:lang w:val="en-US" w:eastAsia="zh-CN"/>
              </w:rPr>
              <w:t>岗位名称</w:t>
            </w:r>
          </w:p>
        </w:tc>
        <w:tc>
          <w:tcPr>
            <w:tcW w:w="689" w:type="dxa"/>
            <w:vMerge w:val="restart"/>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sz w:val="24"/>
                <w:szCs w:val="24"/>
                <w:highlight w:val="none"/>
                <w:vertAlign w:val="baseline"/>
                <w:lang w:val="en-US" w:eastAsia="zh-CN"/>
              </w:rPr>
              <w:t>人数</w:t>
            </w:r>
          </w:p>
        </w:tc>
        <w:tc>
          <w:tcPr>
            <w:tcW w:w="10875" w:type="dxa"/>
            <w:gridSpan w:val="5"/>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76" w:type="dxa"/>
            <w:vMerge w:val="continue"/>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b/>
                <w:bCs/>
                <w:color w:val="auto"/>
                <w:sz w:val="24"/>
                <w:szCs w:val="24"/>
                <w:highlight w:val="none"/>
                <w:vertAlign w:val="baseline"/>
                <w:lang w:val="en-US" w:eastAsia="zh-CN"/>
              </w:rPr>
            </w:pPr>
          </w:p>
        </w:tc>
        <w:tc>
          <w:tcPr>
            <w:tcW w:w="1743" w:type="dxa"/>
            <w:vMerge w:val="continue"/>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p>
        </w:tc>
        <w:tc>
          <w:tcPr>
            <w:tcW w:w="689" w:type="dxa"/>
            <w:vMerge w:val="continue"/>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p>
        </w:tc>
        <w:tc>
          <w:tcPr>
            <w:tcW w:w="144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专业</w:t>
            </w:r>
          </w:p>
        </w:tc>
        <w:tc>
          <w:tcPr>
            <w:tcW w:w="117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学历学位</w:t>
            </w:r>
          </w:p>
        </w:tc>
        <w:tc>
          <w:tcPr>
            <w:tcW w:w="2085"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专业资格</w:t>
            </w:r>
          </w:p>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（职称）</w:t>
            </w:r>
          </w:p>
        </w:tc>
        <w:tc>
          <w:tcPr>
            <w:tcW w:w="243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年龄</w:t>
            </w:r>
          </w:p>
        </w:tc>
        <w:tc>
          <w:tcPr>
            <w:tcW w:w="375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76"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20220101</w:t>
            </w:r>
          </w:p>
        </w:tc>
        <w:tc>
          <w:tcPr>
            <w:tcW w:w="1743"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精神科学科带头人1</w:t>
            </w:r>
          </w:p>
        </w:tc>
        <w:tc>
          <w:tcPr>
            <w:tcW w:w="689"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w:t>
            </w:r>
          </w:p>
        </w:tc>
        <w:tc>
          <w:tcPr>
            <w:tcW w:w="144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临床医学（B100301）</w:t>
            </w:r>
          </w:p>
        </w:tc>
        <w:tc>
          <w:tcPr>
            <w:tcW w:w="1170"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本科学历、硕士学位</w:t>
            </w:r>
          </w:p>
        </w:tc>
        <w:tc>
          <w:tcPr>
            <w:tcW w:w="2085"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副主任医师或以上</w:t>
            </w:r>
          </w:p>
        </w:tc>
        <w:tc>
          <w:tcPr>
            <w:tcW w:w="243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45周岁及以下</w:t>
            </w:r>
          </w:p>
        </w:tc>
        <w:tc>
          <w:tcPr>
            <w:tcW w:w="3750"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有三级精神专科或脑科医院工作经历，从事精神卫生临床工作10年或以上，具有主持省级或以上课题经验。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76"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20220102</w:t>
            </w:r>
          </w:p>
        </w:tc>
        <w:tc>
          <w:tcPr>
            <w:tcW w:w="1743"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精神科学科带头人2</w:t>
            </w:r>
          </w:p>
        </w:tc>
        <w:tc>
          <w:tcPr>
            <w:tcW w:w="689"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1</w:t>
            </w:r>
          </w:p>
        </w:tc>
        <w:tc>
          <w:tcPr>
            <w:tcW w:w="144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临床医学（B100301</w:t>
            </w:r>
          </w:p>
        </w:tc>
        <w:tc>
          <w:tcPr>
            <w:tcW w:w="1170"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本科学历、学位不限</w:t>
            </w:r>
          </w:p>
        </w:tc>
        <w:tc>
          <w:tcPr>
            <w:tcW w:w="2085"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副主任医师或以上</w:t>
            </w:r>
          </w:p>
        </w:tc>
        <w:tc>
          <w:tcPr>
            <w:tcW w:w="243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45周岁及以下</w:t>
            </w:r>
            <w:bookmarkStart w:id="0" w:name="_GoBack"/>
            <w:bookmarkEnd w:id="0"/>
          </w:p>
        </w:tc>
        <w:tc>
          <w:tcPr>
            <w:tcW w:w="375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有三级精神专科或脑科医院工作经历和担任精神卫生相关专业病区科主任10年或以上经历。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76" w:type="dxa"/>
            <w:noWrap w:val="0"/>
            <w:vAlign w:val="center"/>
          </w:tcPr>
          <w:p>
            <w:pPr>
              <w:keepNext w:val="0"/>
              <w:keepLines w:val="0"/>
              <w:pageBreakBefore w:val="0"/>
              <w:kinsoku/>
              <w:wordWrap/>
              <w:overflowPunct/>
              <w:topLinePunct w:val="0"/>
              <w:autoSpaceDE/>
              <w:autoSpaceDN/>
              <w:bidi w:val="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20220103</w:t>
            </w:r>
          </w:p>
        </w:tc>
        <w:tc>
          <w:tcPr>
            <w:tcW w:w="1743"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急诊科医生</w:t>
            </w:r>
          </w:p>
        </w:tc>
        <w:tc>
          <w:tcPr>
            <w:tcW w:w="689"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1</w:t>
            </w:r>
          </w:p>
        </w:tc>
        <w:tc>
          <w:tcPr>
            <w:tcW w:w="144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临床医学（B100301）</w:t>
            </w:r>
          </w:p>
        </w:tc>
        <w:tc>
          <w:tcPr>
            <w:tcW w:w="117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本科学历、学士学位</w:t>
            </w:r>
          </w:p>
        </w:tc>
        <w:tc>
          <w:tcPr>
            <w:tcW w:w="2085"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副主任医师或以上</w:t>
            </w:r>
          </w:p>
        </w:tc>
        <w:tc>
          <w:tcPr>
            <w:tcW w:w="2430" w:type="dxa"/>
            <w:noWrap w:val="0"/>
            <w:vAlign w:val="center"/>
          </w:tcPr>
          <w:p>
            <w:pPr>
              <w:keepNext w:val="0"/>
              <w:keepLines w:val="0"/>
              <w:pageBreakBefore w:val="0"/>
              <w:kinsoku/>
              <w:wordWrap/>
              <w:overflowPunct/>
              <w:topLinePunct w:val="0"/>
              <w:autoSpaceDE/>
              <w:autoSpaceDN/>
              <w:bidi w:val="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45周岁及以下</w:t>
            </w:r>
          </w:p>
        </w:tc>
        <w:tc>
          <w:tcPr>
            <w:tcW w:w="3750" w:type="dxa"/>
            <w:noWrap w:val="0"/>
            <w:vAlign w:val="center"/>
          </w:tcPr>
          <w:p>
            <w:pPr>
              <w:keepNext w:val="0"/>
              <w:keepLines w:val="0"/>
              <w:pageBreakBefore w:val="0"/>
              <w:kinsoku/>
              <w:wordWrap/>
              <w:overflowPunct/>
              <w:topLinePunct w:val="0"/>
              <w:autoSpaceDE/>
              <w:autoSpaceDN/>
              <w:bidi w:val="0"/>
              <w:jc w:val="both"/>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有三级医院神经内科工作经历或三级医院神经内科进修经历，可参与卒中中心的工作。</w:t>
            </w:r>
          </w:p>
        </w:tc>
      </w:tr>
    </w:tbl>
    <w:p>
      <w:pPr>
        <w:keepNext w:val="0"/>
        <w:keepLines w:val="0"/>
        <w:pageBreakBefore w:val="0"/>
        <w:kinsoku/>
        <w:wordWrap/>
        <w:overflowPunct/>
        <w:topLinePunct w:val="0"/>
        <w:autoSpaceDE/>
        <w:autoSpaceDN/>
        <w:bidi w:val="0"/>
        <w:jc w:val="both"/>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333333"/>
          <w:sz w:val="24"/>
          <w:szCs w:val="24"/>
          <w:highlight w:val="none"/>
          <w:shd w:val="clear" w:color="auto" w:fill="FFFFFF"/>
        </w:rPr>
        <w:t>专业名称参照《广东省202</w:t>
      </w:r>
      <w:r>
        <w:rPr>
          <w:rFonts w:hint="eastAsia" w:ascii="楷体" w:hAnsi="楷体" w:eastAsia="楷体" w:cs="楷体"/>
          <w:color w:val="333333"/>
          <w:sz w:val="24"/>
          <w:szCs w:val="24"/>
          <w:highlight w:val="none"/>
          <w:shd w:val="clear" w:color="auto" w:fill="FFFFFF"/>
          <w:lang w:val="en-US" w:eastAsia="zh-CN"/>
        </w:rPr>
        <w:t>2</w:t>
      </w:r>
      <w:r>
        <w:rPr>
          <w:rFonts w:hint="eastAsia" w:ascii="楷体" w:hAnsi="楷体" w:eastAsia="楷体" w:cs="楷体"/>
          <w:color w:val="333333"/>
          <w:sz w:val="24"/>
          <w:szCs w:val="24"/>
          <w:highlight w:val="none"/>
          <w:shd w:val="clear" w:color="auto" w:fill="FFFFFF"/>
        </w:rPr>
        <w:t>年考试录用公务员专业参考目录》。如报考人员所学专业未列入《广东省202</w:t>
      </w:r>
      <w:r>
        <w:rPr>
          <w:rFonts w:hint="eastAsia" w:ascii="楷体" w:hAnsi="楷体" w:eastAsia="楷体" w:cs="楷体"/>
          <w:color w:val="333333"/>
          <w:sz w:val="24"/>
          <w:szCs w:val="24"/>
          <w:highlight w:val="none"/>
          <w:shd w:val="clear" w:color="auto" w:fill="FFFFFF"/>
          <w:lang w:val="en-US" w:eastAsia="zh-CN"/>
        </w:rPr>
        <w:t>2</w:t>
      </w:r>
      <w:r>
        <w:rPr>
          <w:rFonts w:hint="eastAsia" w:ascii="楷体" w:hAnsi="楷体" w:eastAsia="楷体" w:cs="楷体"/>
          <w:color w:val="333333"/>
          <w:sz w:val="24"/>
          <w:szCs w:val="24"/>
          <w:highlight w:val="none"/>
          <w:shd w:val="clear" w:color="auto" w:fill="FFFFFF"/>
        </w:rPr>
        <w:t>年考试录用公务员专业参考目录》的，可选择专业要求中相近专业报考，但所学专业必修课程须与报考岗位要求的专业主要课程基本一致，</w:t>
      </w:r>
    </w:p>
    <w:p>
      <w:pPr>
        <w:pStyle w:val="4"/>
        <w:keepNext w:val="0"/>
        <w:keepLines w:val="0"/>
        <w:widowControl/>
        <w:suppressLineNumbers w:val="0"/>
        <w:spacing w:before="0" w:beforeAutospacing="0" w:after="0" w:afterAutospacing="0" w:line="30" w:lineRule="atLeast"/>
        <w:ind w:right="0"/>
        <w:jc w:val="left"/>
      </w:pPr>
      <w:r>
        <w:rPr>
          <w:rFonts w:hint="eastAsia" w:ascii="楷体" w:hAnsi="楷体" w:eastAsia="楷体" w:cs="楷体"/>
          <w:color w:val="333333"/>
          <w:sz w:val="24"/>
          <w:szCs w:val="24"/>
          <w:highlight w:val="none"/>
          <w:shd w:val="clear" w:color="auto" w:fill="FFFFFF"/>
          <w:lang w:val="en-US" w:eastAsia="zh-CN"/>
        </w:rPr>
        <w:t>2.</w:t>
      </w:r>
      <w:r>
        <w:rPr>
          <w:rFonts w:hint="eastAsia" w:ascii="楷体" w:hAnsi="楷体" w:eastAsia="楷体" w:cs="楷体"/>
          <w:color w:val="333333"/>
          <w:sz w:val="24"/>
          <w:szCs w:val="24"/>
          <w:highlight w:val="none"/>
          <w:shd w:val="clear" w:color="auto" w:fill="FFFFFF"/>
        </w:rPr>
        <w:t>以上所列</w:t>
      </w:r>
      <w:r>
        <w:rPr>
          <w:rFonts w:hint="eastAsia" w:ascii="楷体" w:hAnsi="楷体" w:eastAsia="楷体" w:cs="楷体"/>
          <w:color w:val="333333"/>
          <w:sz w:val="24"/>
          <w:szCs w:val="24"/>
          <w:highlight w:val="none"/>
          <w:shd w:val="clear" w:color="auto" w:fill="FFFFFF"/>
          <w:lang w:eastAsia="zh-CN"/>
        </w:rPr>
        <w:t>时间</w:t>
      </w:r>
      <w:r>
        <w:rPr>
          <w:rFonts w:hint="eastAsia" w:ascii="楷体" w:hAnsi="楷体" w:eastAsia="楷体" w:cs="楷体"/>
          <w:color w:val="333333"/>
          <w:sz w:val="24"/>
          <w:szCs w:val="24"/>
          <w:highlight w:val="none"/>
          <w:shd w:val="clear" w:color="auto" w:fill="FFFFFF"/>
        </w:rPr>
        <w:t>期限计算截止日期为接受报名截止日。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MzRmMmEzOTE2ZDA1NmNhNzQzOTRjMWM3YzlmYzEifQ=="/>
  </w:docVars>
  <w:rsids>
    <w:rsidRoot w:val="00000000"/>
    <w:rsid w:val="170F0EB9"/>
    <w:rsid w:val="5A77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仿宋" w:hAnsi="仿宋" w:eastAsia="仿宋"/>
      <w:sz w:val="24"/>
      <w:szCs w:val="2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497</Characters>
  <Lines>0</Lines>
  <Paragraphs>0</Paragraphs>
  <TotalTime>1</TotalTime>
  <ScaleCrop>false</ScaleCrop>
  <LinksUpToDate>false</LinksUpToDate>
  <CharactersWithSpaces>497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2022-12-05T04:01:00Z</dcterms:created>
  <dc:creator>Administrator</dc:creator>
  <cp:lastModifiedBy>Archi1404921082</cp:lastModifiedBy>
  <dcterms:modified xsi:type="dcterms:W3CDTF">2022-12-05T05:21:36Z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2E5097F3AEE740EF971CFE01F052AD7C</vt:lpwstr>
  </property>
</Properties>
</file>