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附件2</w:t>
      </w:r>
    </w:p>
    <w:p>
      <w:pPr>
        <w:jc w:val="center"/>
        <w:rPr>
          <w:rFonts w:ascii="方正小标宋简体" w:hAnsi="宋体" w:eastAsia="方正小标宋简体" w:cs="宋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sz w:val="32"/>
          <w:szCs w:val="32"/>
        </w:rPr>
        <w:t>2023年翁牛特旗事业单位</w:t>
      </w:r>
    </w:p>
    <w:p>
      <w:pPr>
        <w:jc w:val="center"/>
        <w:rPr>
          <w:rFonts w:ascii="方正小标宋简体" w:hAnsi="宋体" w:eastAsia="方正小标宋简体" w:cs="宋体"/>
          <w:sz w:val="32"/>
          <w:szCs w:val="32"/>
        </w:rPr>
      </w:pPr>
      <w:r>
        <w:rPr>
          <w:rFonts w:hint="eastAsia" w:ascii="方正小标宋简体" w:hAnsi="宋体" w:eastAsia="方正小标宋简体" w:cs="宋体"/>
          <w:sz w:val="32"/>
          <w:szCs w:val="32"/>
        </w:rPr>
        <w:t>人才引进评价表</w:t>
      </w: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/>
          <w:sz w:val="24"/>
          <w:szCs w:val="24"/>
        </w:rPr>
        <w:t>姓名:                     岗位代码:                 自评得分</w:t>
      </w:r>
      <w:r>
        <w:rPr>
          <w:rFonts w:hint="eastAsia" w:ascii="黑体" w:hAnsi="黑体" w:eastAsia="黑体"/>
          <w:sz w:val="24"/>
          <w:szCs w:val="21"/>
        </w:rPr>
        <w:t>:</w:t>
      </w:r>
    </w:p>
    <w:tbl>
      <w:tblPr>
        <w:tblStyle w:val="4"/>
        <w:tblW w:w="90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713"/>
        <w:gridCol w:w="5085"/>
        <w:gridCol w:w="708"/>
        <w:gridCol w:w="1000"/>
        <w:gridCol w:w="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sz w:val="18"/>
                <w:szCs w:val="18"/>
              </w:rPr>
              <w:t>评价类别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sz w:val="18"/>
                <w:szCs w:val="18"/>
              </w:rPr>
              <w:t>评价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sz w:val="18"/>
                <w:szCs w:val="18"/>
              </w:rPr>
              <w:t>项目</w:t>
            </w:r>
          </w:p>
        </w:tc>
        <w:tc>
          <w:tcPr>
            <w:tcW w:w="5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sz w:val="18"/>
                <w:szCs w:val="18"/>
              </w:rPr>
              <w:t>赋分标准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sz w:val="18"/>
                <w:szCs w:val="18"/>
              </w:rPr>
              <w:t>赋分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sz w:val="18"/>
                <w:szCs w:val="18"/>
              </w:rPr>
              <w:t>总分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sz w:val="18"/>
                <w:szCs w:val="18"/>
              </w:rPr>
              <w:t>自评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sz w:val="18"/>
                <w:szCs w:val="18"/>
              </w:rPr>
              <w:t>得分项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sz w:val="18"/>
                <w:szCs w:val="18"/>
              </w:rPr>
              <w:t>自评</w:t>
            </w:r>
          </w:p>
          <w:p>
            <w:pPr>
              <w:jc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人才公共评价项目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专业层次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sz w:val="18"/>
                <w:szCs w:val="18"/>
              </w:rPr>
              <w:t>本  科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：一流大学且一流学科者得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分，一流大学非一流学科者得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分，非一流“211”大学得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分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,非以上院校或学科得5分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sz w:val="18"/>
                <w:szCs w:val="18"/>
              </w:rPr>
              <w:t>研究生(国内)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：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一流大学且一流学科者得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0分，一流大学非一流学科者得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5分，非一流“211”大学得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分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,非以上院校或学科得25分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。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研究生（国外）：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学校QS综合排名1-100名的，得</w:t>
            </w:r>
            <w:r>
              <w:rPr>
                <w:rFonts w:hint="default" w:ascii="仿宋" w:hAnsi="仿宋" w:eastAsia="仿宋" w:cs="宋体"/>
                <w:sz w:val="18"/>
                <w:szCs w:val="18"/>
                <w:lang w:val="en-US"/>
              </w:rPr>
              <w:t>40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分；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学校QS综合排名101-300名的，得</w:t>
            </w:r>
            <w:r>
              <w:rPr>
                <w:rFonts w:hint="default" w:ascii="仿宋" w:hAnsi="仿宋" w:eastAsia="仿宋" w:cs="宋体"/>
                <w:sz w:val="18"/>
                <w:szCs w:val="18"/>
                <w:lang w:val="en-US"/>
              </w:rPr>
              <w:t>35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分；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学校QS综合排名301-600名的，得</w:t>
            </w:r>
            <w:r>
              <w:rPr>
                <w:rFonts w:hint="default" w:ascii="仿宋" w:hAnsi="仿宋" w:eastAsia="仿宋" w:cs="宋体"/>
                <w:sz w:val="18"/>
                <w:szCs w:val="18"/>
                <w:lang w:val="en-US"/>
              </w:rPr>
              <w:t>30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分；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学校QS综合排名601-1000名的,得</w:t>
            </w:r>
            <w:r>
              <w:rPr>
                <w:rFonts w:hint="default" w:ascii="仿宋" w:hAnsi="仿宋" w:eastAsia="仿宋" w:cs="宋体"/>
                <w:sz w:val="18"/>
                <w:szCs w:val="18"/>
                <w:lang w:val="en-US"/>
              </w:rPr>
              <w:t>25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分。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成绩业绩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研究生成绩：</w:t>
            </w:r>
          </w:p>
          <w:p>
            <w:pPr>
              <w:spacing w:line="240" w:lineRule="exact"/>
              <w:rPr>
                <w:rFonts w:ascii="仿宋" w:hAnsi="仿宋" w:eastAsia="仿宋" w:cs="宋体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GPA为4.0得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分，</w:t>
            </w:r>
          </w:p>
          <w:p>
            <w:pPr>
              <w:spacing w:line="240" w:lineRule="exact"/>
              <w:rPr>
                <w:rFonts w:ascii="仿宋" w:hAnsi="仿宋" w:eastAsia="仿宋" w:cs="宋体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GPA为3.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得1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7.5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分，</w:t>
            </w:r>
          </w:p>
          <w:p>
            <w:pPr>
              <w:spacing w:line="240" w:lineRule="exact"/>
              <w:rPr>
                <w:rFonts w:ascii="仿宋" w:hAnsi="仿宋" w:eastAsia="仿宋" w:cs="宋体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GPA为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3.3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得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分，</w:t>
            </w:r>
          </w:p>
          <w:p>
            <w:pPr>
              <w:spacing w:line="240" w:lineRule="exact"/>
              <w:rPr>
                <w:rFonts w:hint="eastAsia" w:ascii="仿宋" w:hAnsi="仿宋" w:eastAsia="仿宋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GPA为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3.0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得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12.5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分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eastAsia="zh-CN"/>
              </w:rPr>
              <w:t>，</w:t>
            </w:r>
          </w:p>
          <w:p>
            <w:pPr>
              <w:spacing w:line="240" w:lineRule="exact"/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GPA为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2.7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得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分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,</w:t>
            </w:r>
          </w:p>
          <w:p>
            <w:pPr>
              <w:spacing w:line="240" w:lineRule="exact"/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GPA为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2.3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得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7.5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分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,</w:t>
            </w:r>
          </w:p>
          <w:p>
            <w:pPr>
              <w:spacing w:line="240" w:lineRule="exact"/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GPA为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2.0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得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分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,</w:t>
            </w:r>
          </w:p>
          <w:p>
            <w:pPr>
              <w:spacing w:line="240" w:lineRule="exact"/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GPA为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得</w:t>
            </w:r>
            <w:r>
              <w:rPr>
                <w:rFonts w:hint="default" w:ascii="仿宋" w:hAnsi="仿宋" w:eastAsia="仿宋" w:cs="宋体"/>
                <w:color w:val="auto"/>
                <w:spacing w:val="-4"/>
                <w:sz w:val="18"/>
                <w:szCs w:val="18"/>
                <w:lang w:val="en-US"/>
              </w:rPr>
              <w:t>2.5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分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,</w:t>
            </w:r>
          </w:p>
          <w:p>
            <w:pPr>
              <w:spacing w:line="240" w:lineRule="exact"/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GPA为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1.0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得</w:t>
            </w:r>
            <w:r>
              <w:rPr>
                <w:rFonts w:hint="default" w:ascii="仿宋" w:hAnsi="仿宋" w:eastAsia="仿宋" w:cs="宋体"/>
                <w:color w:val="auto"/>
                <w:spacing w:val="-4"/>
                <w:sz w:val="18"/>
                <w:szCs w:val="18"/>
                <w:lang w:val="en-US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分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研究成果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作为第一作者发表论文文章且被SCI收录者，每篇得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分；作为除导师以外第一作者发表论文文章且被SCI收录者，每篇得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分；作为除导师以外第二作者发表论文文章且被SCI收录者，每篇得1分；作为第一作者发表论文文章且被EI收录者，每篇得1分。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同一篇文章按最高分计算，发表多篇的累加不超1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分。（论文发布时间须为本公告发布之前，否则不计分）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荣誉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获得国家级荣誉者每项得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分；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获得省级荣誉者每项得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1.5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分；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宋体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获得市级荣誉者每项得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0.5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分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;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宋体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各项累加不超过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分</w:t>
            </w:r>
            <w:r>
              <w:rPr>
                <w:rFonts w:hint="eastAsia" w:ascii="仿宋" w:hAnsi="仿宋" w:eastAsia="仿宋" w:cs="宋体"/>
                <w:sz w:val="18"/>
                <w:szCs w:val="18"/>
                <w:lang w:eastAsia="zh-CN"/>
              </w:rPr>
              <w:t>。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（奖学金不计为国家荣誉即不计分）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职称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具有副高级及以上职称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 xml:space="preserve">5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分</w:t>
            </w:r>
            <w:r>
              <w:rPr>
                <w:rFonts w:hint="eastAsia" w:ascii="仿宋" w:hAnsi="仿宋" w:eastAsia="仿宋" w:cs="宋体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</w:tbl>
    <w:p>
      <w:pPr>
        <w:spacing w:line="440" w:lineRule="exact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备注：双一流高校名单与985工程院校、211工程院校、QS世界排名院校不重复计分。</w:t>
      </w:r>
    </w:p>
    <w:p>
      <w:pPr>
        <w:spacing w:line="440" w:lineRule="exact"/>
        <w:rPr>
          <w:rFonts w:ascii="仿宋" w:hAnsi="仿宋" w:eastAsia="仿宋"/>
          <w:b/>
          <w:szCs w:val="21"/>
        </w:rPr>
      </w:pP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/>
          <w:szCs w:val="21"/>
        </w:rPr>
        <w:t xml:space="preserve">本人签字：  </w:t>
      </w:r>
      <w:r>
        <w:rPr>
          <w:rFonts w:hint="eastAsia" w:ascii="仿宋" w:hAnsi="仿宋" w:eastAsia="仿宋"/>
          <w:szCs w:val="21"/>
        </w:rPr>
        <w:t xml:space="preserve">                                          </w:t>
      </w:r>
      <w:r>
        <w:rPr>
          <w:rFonts w:hint="eastAsia" w:ascii="仿宋" w:hAnsi="仿宋" w:eastAsia="仿宋"/>
          <w:b/>
          <w:szCs w:val="21"/>
        </w:rPr>
        <w:t xml:space="preserve">  联系电话：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填 表 说 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（一）专业层次方面：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1.一流大学和一流学科目录，以《教育部、财政部、国家发展改革委关于公布第二轮“双一流”建设高校及建设学科名单的通知》（教研函〔2022〕1号）为准。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2.在一流学科认定上，所学专业须属该学科内专业。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3.海外学历学校排名，以该校QS世界大学排名历史最高为准（须报名人员提供当年QS世界大学排名文件，无法提供的，以2022年QS世界大学排名为准）。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（二）成绩业绩方面：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以学校出具的加盖印章的研究生成绩单为准，按照表内对应分值赋分。不能提供有效成绩单的，不得分。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60分以下不计成绩。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tbl>
      <w:tblPr>
        <w:tblStyle w:val="4"/>
        <w:tblW w:w="76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1830"/>
        <w:gridCol w:w="1830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百分制成绩</w:t>
            </w:r>
          </w:p>
        </w:tc>
        <w:tc>
          <w:tcPr>
            <w:tcW w:w="18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综合成绩</w:t>
            </w:r>
          </w:p>
        </w:tc>
        <w:tc>
          <w:tcPr>
            <w:tcW w:w="18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学分绩点</w:t>
            </w:r>
          </w:p>
        </w:tc>
        <w:tc>
          <w:tcPr>
            <w:tcW w:w="18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1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90-100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A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4.0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1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85-89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A-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3.7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17.5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82-84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B+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3.3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78-81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B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3.0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1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75-77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B-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2.7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1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72-74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C+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2.3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68-71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C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2.0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1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64-67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C-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1.7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60-63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D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1.0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</w:tbl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（三）研究成果方面：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需提供检索页、扫描文本及作品文件。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（四）获得荣誉方面：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荣誉等级认定上以颁发、授予单位的级别为准，以表彰文件、表彰证书、获奖证书、荣誉证书等用章单位作为认定依据。国家级指党中央、国务院授予或颁发的荣誉，省级指中央和国家机关部委及省（自治区、直辖市）党委、政府授予或颁发的荣誉，市级指省（自治区、直辖市）党委政府委办厅局及市党委、政府授予或颁发的荣誉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2.在校期间获得“国家奖学金”和“国家励志奖学金”的不计分。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3.学校授予的荣誉不计算得分。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4.各类协会、社会组织、组委会发放证书的不加分。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9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等线" w:hAnsi="等线" w:eastAsia="等线" w:cs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等线" w:hAnsi="等线" w:eastAsia="等线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</Company>
  <Pages>3</Pages>
  <Words>1162</Words>
  <Characters>1367</Characters>
  <Paragraphs>147</Paragraphs>
  <TotalTime>8</TotalTime>
  <ScaleCrop>false</ScaleCrop>
  <LinksUpToDate>false</LinksUpToDate>
  <CharactersWithSpaces>1457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2023-03-03T09:05:00Z</dcterms:created>
  <dc:creator>演示人</dc:creator>
  <cp:lastModifiedBy>丹丹</cp:lastModifiedBy>
  <cp:lastPrinted>2023-02-03T02:27:00Z</cp:lastPrinted>
  <dcterms:modified xsi:type="dcterms:W3CDTF">2023-03-03T09:41:59Z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44F8C3A2F8FB4C9ABD4ABC706D2C0F06</vt:lpwstr>
  </property>
</Properties>
</file>