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（2020年版）</w:t>
      </w:r>
    </w:p>
    <w:p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说明：</w:t>
      </w:r>
    </w:p>
    <w:p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016A587F"/>
    <w:rsid w:val="11955696"/>
    <w:rsid w:val="27807BF1"/>
    <w:rsid w:val="293D13A5"/>
    <w:rsid w:val="5B341B6C"/>
    <w:rsid w:val="5BAE3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34</Pages>
  <Words>13763</Words>
  <Characters>19598</Characters>
  <Lines>187</Lines>
  <Paragraphs>52</Paragraphs>
  <TotalTime>10</TotalTime>
  <ScaleCrop>false</ScaleCrop>
  <LinksUpToDate>false</LinksUpToDate>
  <CharactersWithSpaces>20111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会飞的鱼</cp:lastModifiedBy>
  <cp:lastPrinted>2020-02-17T12:19:00Z</cp:lastPrinted>
  <dcterms:modified xsi:type="dcterms:W3CDTF">2023-05-29T01:43:49Z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703455B0B05543B4AB56D98C5CA00539_13</vt:lpwstr>
  </property>
</Properties>
</file>