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color w:val="auto"/>
          <w:sz w:val="40"/>
          <w:szCs w:val="36"/>
        </w:rPr>
      </w:pPr>
      <w:r>
        <w:rPr>
          <w:rFonts w:hint="eastAsia" w:ascii="方正小标宋简体" w:hAnsi="方正小标宋简体" w:eastAsia="方正小标宋简体" w:cs="方正小标宋简体"/>
          <w:color w:val="auto"/>
          <w:sz w:val="40"/>
          <w:szCs w:val="36"/>
          <w:lang w:val="en-US" w:eastAsia="zh-CN"/>
        </w:rPr>
        <w:t>2023年东营</w:t>
      </w:r>
      <w:r>
        <w:rPr>
          <w:rFonts w:hint="eastAsia" w:ascii="方正小标宋简体" w:hAnsi="方正小标宋简体" w:eastAsia="方正小标宋简体" w:cs="方正小标宋简体"/>
          <w:color w:val="auto"/>
          <w:sz w:val="40"/>
          <w:szCs w:val="36"/>
          <w:lang w:eastAsia="zh-CN"/>
        </w:rPr>
        <w:t>市支医岗位</w:t>
      </w:r>
      <w:r>
        <w:rPr>
          <w:rFonts w:hint="eastAsia" w:ascii="方正小标宋简体" w:hAnsi="方正小标宋简体" w:eastAsia="方正小标宋简体" w:cs="方正小标宋简体"/>
          <w:color w:val="auto"/>
          <w:sz w:val="40"/>
          <w:szCs w:val="36"/>
        </w:rPr>
        <w:t>量化测评标准表</w:t>
      </w:r>
    </w:p>
    <w:tbl>
      <w:tblPr>
        <w:tblStyle w:val="3"/>
        <w:tblW w:w="11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356"/>
        <w:gridCol w:w="5280"/>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序号</w:t>
            </w:r>
          </w:p>
        </w:tc>
        <w:tc>
          <w:tcPr>
            <w:tcW w:w="1356"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条件</w:t>
            </w:r>
          </w:p>
        </w:tc>
        <w:tc>
          <w:tcPr>
            <w:tcW w:w="5280"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内容及分值</w:t>
            </w:r>
          </w:p>
        </w:tc>
        <w:tc>
          <w:tcPr>
            <w:tcW w:w="3872" w:type="dxa"/>
            <w:noWrap w:val="0"/>
            <w:vAlign w:val="center"/>
          </w:tcPr>
          <w:p>
            <w:pPr>
              <w:spacing w:line="280" w:lineRule="exact"/>
              <w:jc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学历层次</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研究生（</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分）；全日制本科（2</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分）；全日制专科（</w:t>
            </w:r>
            <w:r>
              <w:rPr>
                <w:rFonts w:hint="eastAsia" w:ascii="仿宋_GB2312" w:hAnsi="仿宋_GB2312" w:eastAsia="仿宋_GB2312" w:cs="仿宋_GB2312"/>
                <w:color w:val="auto"/>
                <w:sz w:val="22"/>
                <w:szCs w:val="22"/>
                <w:lang w:val="en-US" w:eastAsia="zh-CN"/>
              </w:rPr>
              <w:t>22</w:t>
            </w:r>
            <w:r>
              <w:rPr>
                <w:rFonts w:hint="eastAsia" w:ascii="仿宋_GB2312" w:hAnsi="仿宋_GB2312" w:eastAsia="仿宋_GB2312" w:cs="仿宋_GB2312"/>
                <w:color w:val="auto"/>
                <w:sz w:val="22"/>
                <w:szCs w:val="22"/>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分，只取最高分，不累计加分。非全日制研究生学历专业须与所报岗位要求专业一致方能按全日制学历加分。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生源地</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15</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生源地与所报岗位在同一</w:t>
            </w:r>
            <w:r>
              <w:rPr>
                <w:rFonts w:hint="eastAsia" w:ascii="仿宋_GB2312" w:hAnsi="仿宋_GB2312" w:eastAsia="仿宋_GB2312" w:cs="仿宋_GB2312"/>
                <w:color w:val="auto"/>
                <w:sz w:val="22"/>
                <w:szCs w:val="22"/>
                <w:lang w:eastAsia="zh-CN"/>
              </w:rPr>
              <w:t>区县</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15</w:t>
            </w:r>
            <w:r>
              <w:rPr>
                <w:rFonts w:hint="eastAsia" w:ascii="仿宋_GB2312" w:hAnsi="仿宋_GB2312" w:eastAsia="仿宋_GB2312" w:cs="仿宋_GB2312"/>
                <w:color w:val="auto"/>
                <w:sz w:val="22"/>
                <w:szCs w:val="22"/>
              </w:rPr>
              <w:t>分）；生源地与所报岗位在同一地级市（</w:t>
            </w:r>
            <w:r>
              <w:rPr>
                <w:rFonts w:hint="eastAsia" w:ascii="仿宋_GB2312" w:hAnsi="仿宋_GB2312" w:eastAsia="仿宋_GB2312" w:cs="仿宋_GB2312"/>
                <w:color w:val="auto"/>
                <w:sz w:val="22"/>
                <w:szCs w:val="22"/>
                <w:lang w:val="en-US" w:eastAsia="zh-CN"/>
              </w:rPr>
              <w:t>12</w:t>
            </w:r>
            <w:r>
              <w:rPr>
                <w:rFonts w:hint="eastAsia" w:ascii="仿宋_GB2312" w:hAnsi="仿宋_GB2312" w:eastAsia="仿宋_GB2312" w:cs="仿宋_GB2312"/>
                <w:color w:val="auto"/>
                <w:sz w:val="22"/>
                <w:szCs w:val="22"/>
              </w:rPr>
              <w:t>分）；省内其他生源及省外生源毕业生（</w:t>
            </w:r>
            <w:r>
              <w:rPr>
                <w:rFonts w:hint="eastAsia" w:ascii="仿宋_GB2312" w:hAnsi="仿宋_GB2312" w:eastAsia="仿宋_GB2312" w:cs="仿宋_GB2312"/>
                <w:color w:val="auto"/>
                <w:sz w:val="22"/>
                <w:szCs w:val="22"/>
                <w:lang w:val="en-US" w:eastAsia="zh-CN"/>
              </w:rPr>
              <w:t>9</w:t>
            </w:r>
            <w:r>
              <w:rPr>
                <w:rFonts w:hint="eastAsia" w:ascii="仿宋_GB2312" w:hAnsi="仿宋_GB2312" w:eastAsia="仿宋_GB2312" w:cs="仿宋_GB2312"/>
                <w:color w:val="auto"/>
                <w:sz w:val="22"/>
                <w:szCs w:val="22"/>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15</w:t>
            </w:r>
            <w:r>
              <w:rPr>
                <w:rFonts w:hint="eastAsia" w:ascii="仿宋_GB2312" w:hAnsi="仿宋_GB2312" w:eastAsia="仿宋_GB2312" w:cs="仿宋_GB2312"/>
                <w:color w:val="auto"/>
                <w:sz w:val="22"/>
                <w:szCs w:val="22"/>
              </w:rPr>
              <w:t>分，只取最高分，不累计加分。“生源地</w:t>
            </w:r>
            <w:r>
              <w:rPr>
                <w:rFonts w:hint="eastAsia" w:ascii="仿宋_GB2312" w:hAnsi="仿宋_GB2312" w:eastAsia="仿宋_GB2312" w:cs="仿宋_GB2312"/>
                <w:color w:val="auto"/>
                <w:sz w:val="22"/>
                <w:szCs w:val="22"/>
                <w:u w:val="none"/>
              </w:rPr>
              <w:t>”是指</w:t>
            </w:r>
            <w:r>
              <w:rPr>
                <w:rFonts w:hint="eastAsia" w:ascii="仿宋_GB2312" w:hAnsi="仿宋_GB2312" w:eastAsia="仿宋_GB2312" w:cs="仿宋_GB2312"/>
                <w:color w:val="auto"/>
                <w:sz w:val="22"/>
                <w:szCs w:val="22"/>
                <w:u w:val="none"/>
                <w:lang w:eastAsia="zh-CN"/>
              </w:rPr>
              <w:t>高考时的</w:t>
            </w:r>
            <w:r>
              <w:rPr>
                <w:rFonts w:hint="eastAsia" w:ascii="仿宋_GB2312" w:hAnsi="仿宋_GB2312" w:eastAsia="仿宋_GB2312" w:cs="仿宋_GB2312"/>
                <w:color w:val="auto"/>
                <w:sz w:val="22"/>
                <w:szCs w:val="22"/>
                <w:u w:val="none"/>
              </w:rPr>
              <w:t>户</w:t>
            </w:r>
            <w:r>
              <w:rPr>
                <w:rFonts w:hint="eastAsia" w:ascii="仿宋_GB2312" w:hAnsi="仿宋_GB2312" w:eastAsia="仿宋_GB2312" w:cs="仿宋_GB2312"/>
                <w:color w:val="auto"/>
                <w:sz w:val="22"/>
                <w:szCs w:val="22"/>
              </w:rPr>
              <w:t>籍所在地。</w:t>
            </w:r>
            <w:r>
              <w:rPr>
                <w:rFonts w:hint="eastAsia" w:ascii="仿宋_GB2312" w:hAnsi="仿宋_GB2312" w:eastAsia="仿宋_GB2312" w:cs="仿宋_GB2312"/>
                <w:color w:val="auto"/>
                <w:sz w:val="22"/>
                <w:szCs w:val="22"/>
                <w:lang w:eastAsia="zh-CN"/>
              </w:rPr>
              <w:t>（三二连读毕业生以中考时户籍地为准）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5"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lang w:eastAsia="zh-CN"/>
              </w:rPr>
              <w:t>所获荣誉</w:t>
            </w:r>
          </w:p>
          <w:p>
            <w:pPr>
              <w:spacing w:line="320" w:lineRule="exact"/>
              <w:jc w:val="center"/>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rPr>
              <w:t>（</w:t>
            </w:r>
            <w:r>
              <w:rPr>
                <w:rFonts w:hint="eastAsia" w:ascii="仿宋_GB2312" w:hAnsi="仿宋_GB2312" w:eastAsia="仿宋_GB2312" w:cs="仿宋_GB2312"/>
                <w:color w:val="auto"/>
                <w:sz w:val="22"/>
                <w:szCs w:val="22"/>
                <w:u w:val="none"/>
                <w:lang w:val="en-US" w:eastAsia="zh-CN"/>
              </w:rPr>
              <w:t>6</w:t>
            </w:r>
            <w:r>
              <w:rPr>
                <w:rFonts w:hint="eastAsia" w:ascii="仿宋_GB2312" w:hAnsi="仿宋_GB2312" w:eastAsia="仿宋_GB2312" w:cs="仿宋_GB2312"/>
                <w:color w:val="auto"/>
                <w:sz w:val="22"/>
                <w:szCs w:val="22"/>
                <w:u w:val="none"/>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u w:val="none"/>
                <w:lang w:eastAsia="zh-CN"/>
              </w:rPr>
            </w:pPr>
            <w:r>
              <w:rPr>
                <w:rFonts w:hint="eastAsia" w:ascii="仿宋_GB2312" w:hAnsi="仿宋_GB2312" w:eastAsia="仿宋_GB2312" w:cs="仿宋_GB2312"/>
                <w:color w:val="auto"/>
                <w:sz w:val="22"/>
                <w:szCs w:val="22"/>
                <w:u w:val="none"/>
              </w:rPr>
              <w:t>获得省级以上荣誉（</w:t>
            </w:r>
            <w:r>
              <w:rPr>
                <w:rFonts w:hint="eastAsia" w:ascii="仿宋_GB2312" w:hAnsi="仿宋_GB2312" w:eastAsia="仿宋_GB2312" w:cs="仿宋_GB2312"/>
                <w:color w:val="auto"/>
                <w:sz w:val="22"/>
                <w:szCs w:val="22"/>
                <w:u w:val="none"/>
                <w:lang w:val="en-US" w:eastAsia="zh-CN"/>
              </w:rPr>
              <w:t>6</w:t>
            </w:r>
            <w:r>
              <w:rPr>
                <w:rFonts w:hint="eastAsia" w:ascii="仿宋_GB2312" w:hAnsi="仿宋_GB2312" w:eastAsia="仿宋_GB2312" w:cs="仿宋_GB2312"/>
                <w:color w:val="auto"/>
                <w:sz w:val="22"/>
                <w:szCs w:val="22"/>
                <w:u w:val="none"/>
              </w:rPr>
              <w:t>分）；获得市级以上荣誉（</w:t>
            </w:r>
            <w:r>
              <w:rPr>
                <w:rFonts w:hint="eastAsia" w:ascii="仿宋_GB2312" w:hAnsi="仿宋_GB2312" w:eastAsia="仿宋_GB2312" w:cs="仿宋_GB2312"/>
                <w:color w:val="auto"/>
                <w:sz w:val="22"/>
                <w:szCs w:val="22"/>
                <w:u w:val="none"/>
                <w:lang w:val="en-US" w:eastAsia="zh-CN"/>
              </w:rPr>
              <w:t>4</w:t>
            </w:r>
            <w:r>
              <w:rPr>
                <w:rFonts w:hint="eastAsia" w:ascii="仿宋_GB2312" w:hAnsi="仿宋_GB2312" w:eastAsia="仿宋_GB2312" w:cs="仿宋_GB2312"/>
                <w:color w:val="auto"/>
                <w:sz w:val="22"/>
                <w:szCs w:val="22"/>
                <w:u w:val="none"/>
              </w:rPr>
              <w:t>分）；获得校级荣誉（</w:t>
            </w:r>
            <w:r>
              <w:rPr>
                <w:rFonts w:hint="eastAsia" w:ascii="仿宋_GB2312" w:hAnsi="仿宋_GB2312" w:eastAsia="仿宋_GB2312" w:cs="仿宋_GB2312"/>
                <w:color w:val="auto"/>
                <w:sz w:val="22"/>
                <w:szCs w:val="22"/>
                <w:u w:val="none"/>
                <w:lang w:val="en-US" w:eastAsia="zh-CN"/>
              </w:rPr>
              <w:t>2</w:t>
            </w:r>
            <w:r>
              <w:rPr>
                <w:rFonts w:hint="eastAsia" w:ascii="仿宋_GB2312" w:hAnsi="仿宋_GB2312" w:eastAsia="仿宋_GB2312" w:cs="仿宋_GB2312"/>
                <w:color w:val="auto"/>
                <w:sz w:val="22"/>
                <w:szCs w:val="22"/>
                <w:u w:val="none"/>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分。可累计加分，最高</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省级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在高校获省级优秀学生、优秀学生干部、优秀团员、优秀团干部、优秀毕业生荣誉称号和省级大中专学生志愿者暑期“三下乡”社会实践活动优秀学生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6分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市级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在高校获市级优秀学生、优秀学生干部、优秀团员、优秀团干部、优秀毕业生荣誉称号和</w:t>
            </w:r>
            <w:r>
              <w:rPr>
                <w:rFonts w:hint="eastAsia" w:ascii="仿宋_GB2312" w:hAnsi="仿宋_GB2312" w:eastAsia="仿宋_GB2312" w:cs="仿宋_GB2312"/>
                <w:color w:val="auto"/>
                <w:sz w:val="22"/>
                <w:szCs w:val="22"/>
                <w:lang w:eastAsia="zh-CN"/>
              </w:rPr>
              <w:t>市</w:t>
            </w:r>
            <w:r>
              <w:rPr>
                <w:rFonts w:hint="eastAsia" w:ascii="仿宋_GB2312" w:hAnsi="仿宋_GB2312" w:eastAsia="仿宋_GB2312" w:cs="仿宋_GB2312"/>
                <w:color w:val="auto"/>
                <w:sz w:val="22"/>
                <w:szCs w:val="22"/>
              </w:rPr>
              <w:t>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4分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“在高校期间获得</w:t>
            </w:r>
            <w:r>
              <w:rPr>
                <w:rFonts w:hint="eastAsia" w:ascii="仿宋_GB2312" w:hAnsi="仿宋_GB2312" w:eastAsia="仿宋_GB2312" w:cs="仿宋_GB2312"/>
                <w:color w:val="auto"/>
                <w:sz w:val="22"/>
                <w:szCs w:val="22"/>
                <w:lang w:eastAsia="zh-CN"/>
              </w:rPr>
              <w:t>校级</w:t>
            </w:r>
            <w:r>
              <w:rPr>
                <w:rFonts w:hint="eastAsia" w:ascii="仿宋_GB2312" w:hAnsi="仿宋_GB2312" w:eastAsia="仿宋_GB2312" w:cs="仿宋_GB2312"/>
                <w:color w:val="auto"/>
                <w:sz w:val="22"/>
                <w:szCs w:val="22"/>
              </w:rPr>
              <w:t>以上荣誉”包括</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在高校获校级优秀学生、优秀学生干部、优秀团员、优秀团干部、优秀毕业生荣誉称号和</w:t>
            </w:r>
            <w:r>
              <w:rPr>
                <w:rFonts w:hint="eastAsia" w:ascii="仿宋_GB2312" w:hAnsi="仿宋_GB2312" w:eastAsia="仿宋_GB2312" w:cs="仿宋_GB2312"/>
                <w:color w:val="auto"/>
                <w:sz w:val="22"/>
                <w:szCs w:val="22"/>
                <w:lang w:eastAsia="zh-CN"/>
              </w:rPr>
              <w:t>校</w:t>
            </w:r>
            <w:r>
              <w:rPr>
                <w:rFonts w:hint="eastAsia" w:ascii="仿宋_GB2312" w:hAnsi="仿宋_GB2312" w:eastAsia="仿宋_GB2312" w:cs="仿宋_GB2312"/>
                <w:color w:val="auto"/>
                <w:sz w:val="22"/>
                <w:szCs w:val="22"/>
              </w:rPr>
              <w:t>级大中专学生志愿者暑期“三下乡”社会实践活动优秀学生</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2分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以提供的证书为准（所盖公章须与颁发单位一致，不包括二级学院或院系所发证书）</w:t>
            </w:r>
            <w:r>
              <w:rPr>
                <w:rFonts w:hint="eastAsia" w:ascii="仿宋_GB2312" w:hAnsi="仿宋_GB2312" w:eastAsia="仿宋_GB2312" w:cs="仿宋_GB2312"/>
                <w:color w:val="auto"/>
                <w:sz w:val="22"/>
                <w:szCs w:val="22"/>
                <w:lang w:eastAsia="zh-CN"/>
              </w:rPr>
              <w:t>，名称需与测评要求一致。</w:t>
            </w:r>
          </w:p>
          <w:p>
            <w:pPr>
              <w:spacing w:line="320" w:lineRule="exact"/>
              <w:rPr>
                <w:rFonts w:hint="eastAsia" w:ascii="仿宋_GB2312" w:hAnsi="仿宋_GB2312" w:eastAsia="仿宋_GB2312" w:cs="仿宋_GB2312"/>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5" w:hRule="atLeast"/>
          <w:jc w:val="center"/>
        </w:trPr>
        <w:tc>
          <w:tcPr>
            <w:tcW w:w="621"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356"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35</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学业成绩在本专业排名前</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35</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10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20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32.5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20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30.5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30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40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28.5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40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50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26.5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学业成绩在本专业排名为</w:t>
            </w:r>
            <w:r>
              <w:rPr>
                <w:rFonts w:hint="eastAsia" w:ascii="仿宋_GB2312" w:hAnsi="仿宋_GB2312" w:eastAsia="仿宋_GB2312" w:cs="仿宋_GB2312"/>
                <w:color w:val="auto"/>
                <w:sz w:val="22"/>
                <w:szCs w:val="22"/>
                <w:lang w:val="en-US" w:eastAsia="zh-CN"/>
              </w:rPr>
              <w:t>50</w:t>
            </w: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80</w:t>
            </w:r>
            <w:r>
              <w:rPr>
                <w:rFonts w:hint="eastAsia" w:ascii="仿宋_GB2312" w:hAnsi="仿宋_GB2312" w:eastAsia="仿宋_GB2312" w:cs="仿宋_GB2312"/>
                <w:color w:val="auto"/>
                <w:sz w:val="22"/>
                <w:szCs w:val="22"/>
              </w:rPr>
              <w:t>%（含），得</w:t>
            </w:r>
            <w:r>
              <w:rPr>
                <w:rFonts w:hint="eastAsia" w:ascii="仿宋_GB2312" w:hAnsi="仿宋_GB2312" w:eastAsia="仿宋_GB2312" w:cs="仿宋_GB2312"/>
                <w:color w:val="auto"/>
                <w:sz w:val="22"/>
                <w:szCs w:val="22"/>
                <w:lang w:val="en-US" w:eastAsia="zh-CN"/>
              </w:rPr>
              <w:t>24.5</w:t>
            </w:r>
            <w:r>
              <w:rPr>
                <w:rFonts w:hint="eastAsia" w:ascii="仿宋_GB2312" w:hAnsi="仿宋_GB2312" w:eastAsia="仿宋_GB2312" w:cs="仿宋_GB2312"/>
                <w:color w:val="auto"/>
                <w:sz w:val="22"/>
                <w:szCs w:val="22"/>
              </w:rPr>
              <w:t>分</w:t>
            </w:r>
            <w:r>
              <w:rPr>
                <w:rFonts w:hint="eastAsia" w:ascii="仿宋_GB2312" w:hAnsi="仿宋_GB2312" w:eastAsia="仿宋_GB2312" w:cs="仿宋_GB2312"/>
                <w:color w:val="auto"/>
                <w:sz w:val="22"/>
                <w:szCs w:val="22"/>
                <w:lang w:eastAsia="zh-CN"/>
              </w:rPr>
              <w:t>；</w:t>
            </w:r>
          </w:p>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学业成绩在本专业排名</w:t>
            </w:r>
            <w:r>
              <w:rPr>
                <w:rFonts w:hint="eastAsia" w:ascii="仿宋_GB2312" w:hAnsi="仿宋_GB2312" w:eastAsia="仿宋_GB2312" w:cs="仿宋_GB2312"/>
                <w:color w:val="auto"/>
                <w:sz w:val="22"/>
                <w:szCs w:val="22"/>
                <w:lang w:val="en-US" w:eastAsia="zh-CN"/>
              </w:rPr>
              <w:t>80</w:t>
            </w:r>
            <w:r>
              <w:rPr>
                <w:rFonts w:hint="eastAsia" w:ascii="仿宋_GB2312" w:hAnsi="仿宋_GB2312" w:eastAsia="仿宋_GB2312" w:cs="仿宋_GB2312"/>
                <w:color w:val="auto"/>
                <w:sz w:val="22"/>
                <w:szCs w:val="22"/>
              </w:rPr>
              <w:t>%（不含）以外或平均分低于60分</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得</w:t>
            </w:r>
            <w:r>
              <w:rPr>
                <w:rFonts w:hint="eastAsia" w:ascii="仿宋_GB2312" w:hAnsi="仿宋_GB2312" w:eastAsia="仿宋_GB2312" w:cs="仿宋_GB2312"/>
                <w:color w:val="auto"/>
                <w:sz w:val="22"/>
                <w:szCs w:val="22"/>
                <w:lang w:val="en-US" w:eastAsia="zh-CN"/>
              </w:rPr>
              <w:t>0</w:t>
            </w:r>
            <w:r>
              <w:rPr>
                <w:rFonts w:hint="eastAsia" w:ascii="仿宋_GB2312" w:hAnsi="仿宋_GB2312" w:eastAsia="仿宋_GB2312" w:cs="仿宋_GB2312"/>
                <w:color w:val="auto"/>
                <w:sz w:val="22"/>
                <w:szCs w:val="22"/>
              </w:rPr>
              <w:t>分。</w:t>
            </w:r>
          </w:p>
        </w:tc>
        <w:tc>
          <w:tcPr>
            <w:tcW w:w="3872" w:type="dxa"/>
            <w:vMerge w:val="restart"/>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35</w:t>
            </w:r>
            <w:r>
              <w:rPr>
                <w:rFonts w:hint="eastAsia" w:ascii="仿宋_GB2312" w:hAnsi="仿宋_GB2312" w:eastAsia="仿宋_GB2312" w:cs="仿宋_GB2312"/>
                <w:color w:val="auto"/>
                <w:sz w:val="22"/>
                <w:szCs w:val="22"/>
              </w:rPr>
              <w:t>分。提供加盖</w:t>
            </w:r>
            <w:r>
              <w:rPr>
                <w:rFonts w:hint="eastAsia" w:ascii="仿宋_GB2312" w:hAnsi="仿宋_GB2312" w:eastAsia="仿宋_GB2312" w:cs="仿宋_GB2312"/>
                <w:color w:val="auto"/>
                <w:sz w:val="22"/>
                <w:szCs w:val="22"/>
                <w:lang w:eastAsia="zh-CN"/>
              </w:rPr>
              <w:t>毕业</w:t>
            </w:r>
            <w:r>
              <w:rPr>
                <w:rFonts w:hint="eastAsia" w:ascii="仿宋_GB2312" w:hAnsi="仿宋_GB2312" w:eastAsia="仿宋_GB2312" w:cs="仿宋_GB2312"/>
                <w:color w:val="auto"/>
                <w:sz w:val="22"/>
                <w:szCs w:val="22"/>
              </w:rPr>
              <w:t>学校或学校教务部门公章的证明材料（注明学业成绩排名比例和学业成绩平均分）。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621"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w:t>
            </w:r>
          </w:p>
        </w:tc>
        <w:tc>
          <w:tcPr>
            <w:tcW w:w="1356" w:type="dxa"/>
            <w:vMerge w:val="restart"/>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社会工作</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校学生会主席、副主席、主席团成员；校社团联合会（社团管理部）会长（主任）</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副会长（副主任）、主要负责人（</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tc>
        <w:tc>
          <w:tcPr>
            <w:tcW w:w="3872" w:type="dxa"/>
            <w:vMerge w:val="restart"/>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分。可累计加分，最高</w:t>
            </w:r>
            <w:r>
              <w:rPr>
                <w:rFonts w:hint="eastAsia" w:ascii="仿宋_GB2312" w:hAnsi="仿宋_GB2312" w:eastAsia="仿宋_GB2312" w:cs="仿宋_GB2312"/>
                <w:color w:val="auto"/>
                <w:sz w:val="22"/>
                <w:szCs w:val="22"/>
                <w:lang w:val="en-US" w:eastAsia="zh-CN"/>
              </w:rPr>
              <w:t>6</w:t>
            </w:r>
            <w:r>
              <w:rPr>
                <w:rFonts w:hint="eastAsia" w:ascii="仿宋_GB2312" w:hAnsi="仿宋_GB2312" w:eastAsia="仿宋_GB2312" w:cs="仿宋_GB2312"/>
                <w:color w:val="auto"/>
                <w:sz w:val="22"/>
                <w:szCs w:val="22"/>
              </w:rPr>
              <w:t>分。</w:t>
            </w:r>
          </w:p>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需任职半年以上，提供加盖学校相应部门公章的证明材料（注明任职岗位、任职时限</w:t>
            </w:r>
            <w:r>
              <w:rPr>
                <w:rFonts w:hint="eastAsia" w:ascii="仿宋_GB2312" w:hAnsi="仿宋_GB2312" w:eastAsia="仿宋_GB2312" w:cs="仿宋_GB2312"/>
                <w:color w:val="auto"/>
                <w:sz w:val="22"/>
                <w:szCs w:val="22"/>
                <w:lang w:eastAsia="zh-CN"/>
              </w:rPr>
              <w:t>，名称需与测评要求一致</w:t>
            </w:r>
            <w:r>
              <w:rPr>
                <w:rFonts w:hint="eastAsia" w:ascii="仿宋_GB2312" w:hAnsi="仿宋_GB2312" w:eastAsia="仿宋_GB2312" w:cs="仿宋_GB2312"/>
                <w:color w:val="auto"/>
                <w:sz w:val="22"/>
                <w:szCs w:val="22"/>
              </w:rPr>
              <w:t>）。</w:t>
            </w:r>
          </w:p>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rPr>
              <w:t>如：校学生会主席、副主席、主席团成员应提供加盖学校或学校团组织公章</w:t>
            </w:r>
            <w:r>
              <w:rPr>
                <w:rFonts w:hint="eastAsia" w:ascii="仿宋_GB2312" w:hAnsi="仿宋_GB2312" w:eastAsia="仿宋_GB2312" w:cs="仿宋_GB2312"/>
                <w:color w:val="auto"/>
                <w:sz w:val="22"/>
                <w:szCs w:val="22"/>
                <w:lang w:eastAsia="zh-CN"/>
              </w:rPr>
              <w:t>的证明材料</w:t>
            </w:r>
            <w:r>
              <w:rPr>
                <w:rFonts w:hint="eastAsia" w:ascii="仿宋_GB2312" w:hAnsi="仿宋_GB2312" w:eastAsia="仿宋_GB2312" w:cs="仿宋_GB2312"/>
                <w:color w:val="auto"/>
                <w:sz w:val="22"/>
                <w:szCs w:val="22"/>
              </w:rPr>
              <w:t>；二级学院（系）学生会主席、副主席、主席团成员应提供加盖学院（系）或学院（系）团组织公章</w:t>
            </w:r>
            <w:r>
              <w:rPr>
                <w:rFonts w:hint="eastAsia" w:ascii="仿宋_GB2312" w:hAnsi="仿宋_GB2312" w:eastAsia="仿宋_GB2312" w:cs="仿宋_GB2312"/>
                <w:color w:val="auto"/>
                <w:sz w:val="22"/>
                <w:szCs w:val="22"/>
                <w:lang w:eastAsia="zh-CN"/>
              </w:rPr>
              <w:t>的证明材料</w:t>
            </w:r>
            <w:r>
              <w:rPr>
                <w:rFonts w:hint="eastAsia" w:ascii="仿宋_GB2312" w:hAnsi="仿宋_GB2312" w:eastAsia="仿宋_GB2312" w:cs="仿宋_GB2312"/>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621"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1356"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二级学院（系）学生会主席、副主席、主席团成员；班长；团支部书记；学生党支部书记（</w:t>
            </w:r>
            <w:r>
              <w:rPr>
                <w:rFonts w:hint="eastAsia" w:ascii="仿宋_GB2312" w:hAnsi="仿宋_GB2312" w:eastAsia="仿宋_GB2312" w:cs="仿宋_GB2312"/>
                <w:color w:val="auto"/>
                <w:sz w:val="22"/>
                <w:szCs w:val="22"/>
                <w:lang w:val="en-US" w:eastAsia="zh-CN"/>
              </w:rPr>
              <w:t>4</w:t>
            </w:r>
            <w:r>
              <w:rPr>
                <w:rFonts w:hint="eastAsia" w:ascii="仿宋_GB2312" w:hAnsi="仿宋_GB2312" w:eastAsia="仿宋_GB2312" w:cs="仿宋_GB2312"/>
                <w:color w:val="auto"/>
                <w:sz w:val="22"/>
                <w:szCs w:val="22"/>
              </w:rPr>
              <w:t>分）。</w:t>
            </w:r>
          </w:p>
        </w:tc>
        <w:tc>
          <w:tcPr>
            <w:tcW w:w="3872" w:type="dxa"/>
            <w:vMerge w:val="continue"/>
            <w:noWrap w:val="0"/>
            <w:vAlign w:val="center"/>
          </w:tcPr>
          <w:p>
            <w:pPr>
              <w:spacing w:line="320" w:lineRule="exact"/>
              <w:rPr>
                <w:rFonts w:hint="eastAsia" w:ascii="仿宋_GB2312" w:hAnsi="仿宋_GB2312" w:eastAsia="仿宋_GB2312" w:cs="仿宋_GB2312"/>
                <w:color w:val="auto"/>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621"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1356" w:type="dxa"/>
            <w:vMerge w:val="continue"/>
            <w:noWrap w:val="0"/>
            <w:vAlign w:val="center"/>
          </w:tcPr>
          <w:p>
            <w:pPr>
              <w:spacing w:line="320" w:lineRule="exact"/>
              <w:jc w:val="center"/>
              <w:rPr>
                <w:rFonts w:hint="eastAsia" w:ascii="仿宋_GB2312" w:hAnsi="仿宋_GB2312" w:eastAsia="仿宋_GB2312" w:cs="仿宋_GB2312"/>
                <w:color w:val="auto"/>
                <w:sz w:val="22"/>
                <w:szCs w:val="22"/>
              </w:rPr>
            </w:pP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校、院（系）学生会部门（中心）部长（主任）、副部长（副主任）、主要负责人；班委；团支部委员；学生党支部委员（</w:t>
            </w:r>
            <w:r>
              <w:rPr>
                <w:rFonts w:hint="eastAsia" w:ascii="仿宋_GB2312" w:hAnsi="仿宋_GB2312" w:eastAsia="仿宋_GB2312" w:cs="仿宋_GB2312"/>
                <w:color w:val="auto"/>
                <w:sz w:val="22"/>
                <w:szCs w:val="22"/>
                <w:lang w:val="en-US" w:eastAsia="zh-CN"/>
              </w:rPr>
              <w:t>2</w:t>
            </w:r>
            <w:r>
              <w:rPr>
                <w:rFonts w:hint="eastAsia" w:ascii="仿宋_GB2312" w:hAnsi="仿宋_GB2312" w:eastAsia="仿宋_GB2312" w:cs="仿宋_GB2312"/>
                <w:color w:val="auto"/>
                <w:sz w:val="22"/>
                <w:szCs w:val="22"/>
              </w:rPr>
              <w:t>分）。</w:t>
            </w:r>
          </w:p>
        </w:tc>
        <w:tc>
          <w:tcPr>
            <w:tcW w:w="3872" w:type="dxa"/>
            <w:vMerge w:val="continue"/>
            <w:noWrap w:val="0"/>
            <w:vAlign w:val="center"/>
          </w:tcPr>
          <w:p>
            <w:pPr>
              <w:spacing w:line="320" w:lineRule="exact"/>
              <w:rPr>
                <w:rFonts w:hint="eastAsia" w:ascii="仿宋_GB2312" w:hAnsi="仿宋_GB2312" w:eastAsia="仿宋_GB2312" w:cs="仿宋_GB2312"/>
                <w:color w:val="auto"/>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中共党员</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中共党员（含预备党员）（</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3</w:t>
            </w:r>
            <w:r>
              <w:rPr>
                <w:rFonts w:hint="eastAsia" w:ascii="仿宋_GB2312" w:hAnsi="仿宋_GB2312" w:eastAsia="仿宋_GB2312" w:cs="仿宋_GB2312"/>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大学生退役士兵</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服完兵役的高校毕业生（2分）。</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困难家庭高校毕业生</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（2分）</w:t>
            </w:r>
          </w:p>
        </w:tc>
        <w:tc>
          <w:tcPr>
            <w:tcW w:w="5280"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困难家庭高校毕业生（2分）。</w:t>
            </w:r>
          </w:p>
        </w:tc>
        <w:tc>
          <w:tcPr>
            <w:tcW w:w="3872" w:type="dxa"/>
            <w:noWrap w:val="0"/>
            <w:vAlign w:val="center"/>
          </w:tcPr>
          <w:p>
            <w:pPr>
              <w:spacing w:line="320" w:lineRule="exact"/>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满分2分。</w:t>
            </w:r>
            <w:r>
              <w:rPr>
                <w:rFonts w:hint="eastAsia" w:ascii="仿宋_GB2312" w:hAnsi="仿宋_GB2312" w:eastAsia="仿宋_GB2312" w:cs="仿宋_GB2312"/>
                <w:color w:val="auto"/>
                <w:w w:val="100"/>
                <w:sz w:val="22"/>
                <w:szCs w:val="22"/>
                <w:vertAlign w:val="baseline"/>
                <w:lang w:val="en-US" w:eastAsia="zh-CN"/>
              </w:rPr>
              <w:t>持目前有效的最低生活保障证、特困人员救助供养证、儿童福利证、事实无人抚养人员证明、帮扶记录卡。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9</w:t>
            </w:r>
          </w:p>
        </w:tc>
        <w:tc>
          <w:tcPr>
            <w:tcW w:w="1356" w:type="dxa"/>
            <w:noWrap w:val="0"/>
            <w:vAlign w:val="center"/>
          </w:tcPr>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资格证书</w:t>
            </w:r>
          </w:p>
          <w:p>
            <w:pPr>
              <w:spacing w:line="32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分）</w:t>
            </w:r>
          </w:p>
        </w:tc>
        <w:tc>
          <w:tcPr>
            <w:tcW w:w="5280" w:type="dxa"/>
            <w:noWrap w:val="0"/>
            <w:vAlign w:val="center"/>
          </w:tcPr>
          <w:p>
            <w:pPr>
              <w:spacing w:line="320" w:lineRule="exact"/>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通过执业助理医师资格考试（</w:t>
            </w:r>
            <w:r>
              <w:rPr>
                <w:rFonts w:hint="eastAsia" w:ascii="仿宋_GB2312" w:hAnsi="仿宋_GB2312" w:eastAsia="仿宋_GB2312" w:cs="仿宋_GB2312"/>
                <w:color w:val="auto"/>
                <w:sz w:val="22"/>
                <w:szCs w:val="22"/>
                <w:lang w:val="en-US" w:eastAsia="zh-CN"/>
              </w:rPr>
              <w:t>1分</w:t>
            </w:r>
            <w:r>
              <w:rPr>
                <w:rFonts w:hint="eastAsia" w:ascii="仿宋_GB2312" w:hAnsi="仿宋_GB2312" w:eastAsia="仿宋_GB2312" w:cs="仿宋_GB2312"/>
                <w:color w:val="auto"/>
                <w:sz w:val="22"/>
                <w:szCs w:val="22"/>
                <w:lang w:eastAsia="zh-CN"/>
              </w:rPr>
              <w:t>）、护士执业资格考试（</w:t>
            </w:r>
            <w:r>
              <w:rPr>
                <w:rFonts w:hint="eastAsia" w:ascii="仿宋_GB2312" w:hAnsi="仿宋_GB2312" w:eastAsia="仿宋_GB2312" w:cs="仿宋_GB2312"/>
                <w:color w:val="auto"/>
                <w:sz w:val="22"/>
                <w:szCs w:val="22"/>
                <w:lang w:val="en-US" w:eastAsia="zh-CN"/>
              </w:rPr>
              <w:t>1分</w:t>
            </w:r>
            <w:r>
              <w:rPr>
                <w:rFonts w:hint="eastAsia" w:ascii="仿宋_GB2312" w:hAnsi="仿宋_GB2312" w:eastAsia="仿宋_GB2312" w:cs="仿宋_GB2312"/>
                <w:color w:val="auto"/>
                <w:sz w:val="22"/>
                <w:szCs w:val="22"/>
                <w:lang w:eastAsia="zh-CN"/>
              </w:rPr>
              <w:t>）、执业医师资格考试（</w:t>
            </w:r>
            <w:r>
              <w:rPr>
                <w:rFonts w:hint="eastAsia" w:ascii="仿宋_GB2312" w:hAnsi="仿宋_GB2312" w:eastAsia="仿宋_GB2312" w:cs="仿宋_GB2312"/>
                <w:color w:val="auto"/>
                <w:sz w:val="22"/>
                <w:szCs w:val="22"/>
                <w:lang w:val="en-US" w:eastAsia="zh-CN"/>
              </w:rPr>
              <w:t>1分</w:t>
            </w:r>
            <w:r>
              <w:rPr>
                <w:rFonts w:hint="eastAsia" w:ascii="仿宋_GB2312" w:hAnsi="仿宋_GB2312" w:eastAsia="仿宋_GB2312" w:cs="仿宋_GB2312"/>
                <w:color w:val="auto"/>
                <w:sz w:val="22"/>
                <w:szCs w:val="22"/>
                <w:lang w:eastAsia="zh-CN"/>
              </w:rPr>
              <w:t>）。</w:t>
            </w:r>
          </w:p>
        </w:tc>
        <w:tc>
          <w:tcPr>
            <w:tcW w:w="3872" w:type="dxa"/>
            <w:noWrap w:val="0"/>
            <w:vAlign w:val="center"/>
          </w:tcPr>
          <w:p>
            <w:pPr>
              <w:spacing w:line="320" w:lineRule="exact"/>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满分</w:t>
            </w:r>
            <w:r>
              <w:rPr>
                <w:rFonts w:hint="eastAsia" w:ascii="仿宋_GB2312" w:hAnsi="仿宋_GB2312" w:eastAsia="仿宋_GB2312" w:cs="仿宋_GB2312"/>
                <w:color w:val="auto"/>
                <w:sz w:val="22"/>
                <w:szCs w:val="22"/>
                <w:lang w:val="en-US" w:eastAsia="zh-CN"/>
              </w:rPr>
              <w:t>1</w:t>
            </w:r>
            <w:r>
              <w:rPr>
                <w:rFonts w:hint="eastAsia" w:ascii="仿宋_GB2312" w:hAnsi="仿宋_GB2312" w:eastAsia="仿宋_GB2312" w:cs="仿宋_GB2312"/>
                <w:color w:val="auto"/>
                <w:sz w:val="22"/>
                <w:szCs w:val="22"/>
              </w:rPr>
              <w:t>分。</w:t>
            </w:r>
          </w:p>
        </w:tc>
      </w:tr>
    </w:tbl>
    <w:p>
      <w:pPr>
        <w:keepNext w:val="0"/>
        <w:keepLines w:val="0"/>
        <w:pageBreakBefore w:val="0"/>
        <w:widowControl w:val="0"/>
        <w:tabs>
          <w:tab w:val="left" w:pos="509"/>
        </w:tabs>
        <w:kinsoku/>
        <w:wordWrap/>
        <w:overflowPunct/>
        <w:topLinePunct w:val="0"/>
        <w:autoSpaceDE/>
        <w:autoSpaceDN/>
        <w:bidi w:val="0"/>
        <w:adjustRightInd/>
        <w:snapToGrid/>
        <w:spacing w:line="560" w:lineRule="exact"/>
        <w:ind w:firstLine="440" w:firstLineChars="200"/>
        <w:jc w:val="left"/>
        <w:textAlignment w:val="auto"/>
        <w:rPr>
          <w:rFonts w:hint="eastAsia" w:ascii="仿宋_GB2312" w:hAnsi="仿宋_GB2312" w:eastAsia="仿宋_GB2312" w:cs="仿宋_GB2312"/>
          <w:color w:val="auto"/>
          <w:sz w:val="22"/>
          <w:szCs w:val="21"/>
          <w:lang w:val="en-US" w:eastAsia="zh-CN"/>
        </w:rPr>
      </w:pPr>
      <w:r>
        <w:rPr>
          <w:rFonts w:hint="eastAsia" w:ascii="仿宋_GB2312" w:hAnsi="仿宋_GB2312" w:eastAsia="仿宋_GB2312" w:cs="仿宋_GB2312"/>
          <w:color w:val="auto"/>
          <w:sz w:val="22"/>
          <w:szCs w:val="21"/>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NDgyZjU5Nzg5NzFjZmIwNmFlMDg3ZTUzNTZiMDIifQ=="/>
  </w:docVars>
  <w:rsids>
    <w:rsidRoot w:val="53C66DC1"/>
    <w:rsid w:val="21E22DAB"/>
    <w:rsid w:val="3CD02174"/>
    <w:rsid w:val="3CF323CE"/>
    <w:rsid w:val="53C6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tabs>
        <w:tab w:val="left" w:pos="0"/>
      </w:tabs>
      <w:ind w:firstLine="0" w:firstLineChars="0"/>
      <w:jc w:val="left"/>
      <w:outlineLvl w:val="2"/>
    </w:pPr>
    <w:rPr>
      <w:rFonts w:ascii="Arial" w:hAnsi="Arial" w:eastAsia="微软雅黑" w:cs="Arial"/>
      <w:b/>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2022-06-29T08:43:00Z</dcterms:created>
  <dc:creator>莲灿</dc:creator>
  <cp:lastModifiedBy>Administrator</cp:lastModifiedBy>
  <dcterms:modified xsi:type="dcterms:W3CDTF">2023-06-20T01:20:22Z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23EE03F3F7A04B90BB5FE5C72765C25D</vt:lpwstr>
  </property>
</Properties>
</file>