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7" w:lineRule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pacing w:val="-11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pacing w:val="-11"/>
          <w:sz w:val="32"/>
          <w:szCs w:val="32"/>
        </w:rPr>
        <w:t>表1</w:t>
      </w:r>
    </w:p>
    <w:p>
      <w:pPr>
        <w:pStyle w:val="4"/>
        <w:widowControl/>
        <w:shd w:val="clear" w:color="auto" w:fill="FFFFFF"/>
        <w:spacing w:beforeAutospacing="0" w:afterAutospacing="0"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赣州市总工会职工互助保障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工作人员招聘计划表</w:t>
      </w:r>
    </w:p>
    <w:tbl>
      <w:tblPr>
        <w:tblStyle w:val="6"/>
        <w:tblpPr w:leftFromText="180" w:rightFromText="180" w:vertAnchor="text" w:horzAnchor="page" w:tblpX="1565" w:tblpY="514"/>
        <w:tblOverlap w:val="never"/>
        <w:tblW w:w="47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985"/>
        <w:gridCol w:w="901"/>
        <w:gridCol w:w="6052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0"/>
                <w:szCs w:val="30"/>
                <w:u w:val="none"/>
              </w:rPr>
              <w:t>招聘岗位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napToGrid w:val="0"/>
                <w:color w:val="auto"/>
                <w:sz w:val="30"/>
                <w:szCs w:val="30"/>
                <w:u w:val="none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0"/>
                <w:szCs w:val="30"/>
                <w:u w:val="none"/>
                <w:shd w:val="clear" w:color="auto" w:fill="FFFFFF"/>
              </w:rPr>
              <w:t>岗位代码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0"/>
                <w:szCs w:val="30"/>
                <w:u w:val="none"/>
              </w:rPr>
              <w:t>人数</w:t>
            </w:r>
          </w:p>
        </w:tc>
        <w:tc>
          <w:tcPr>
            <w:tcW w:w="60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0"/>
                <w:szCs w:val="30"/>
                <w:u w:val="none"/>
              </w:rPr>
              <w:t>岗位资格条件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color w:val="auto"/>
                <w:sz w:val="30"/>
                <w:szCs w:val="30"/>
                <w:u w:val="none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0"/>
                <w:szCs w:val="30"/>
                <w:u w:val="none"/>
                <w:shd w:val="clear" w:color="auto" w:fill="FFFFFF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  <w:t>财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lang w:eastAsia="zh-CN"/>
              </w:rPr>
              <w:t>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  <w:t>人员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0"/>
                <w:szCs w:val="30"/>
                <w:u w:val="none"/>
              </w:rPr>
              <w:t>23072601001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lang w:val="e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  <w:t>人</w:t>
            </w:r>
          </w:p>
        </w:tc>
        <w:tc>
          <w:tcPr>
            <w:tcW w:w="6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  <w:t>1.会计与审计类、财政金融类、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  <w:t>财务会计教育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lang w:eastAsia="zh-CN"/>
              </w:rPr>
              <w:t>等类别的相关专业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  <w:t>2.能熟练操作财务软件及办公软件；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  <w:t>3.有两年及以上会计工作经验或具有初级及以上会计专业技术资格证。</w:t>
            </w:r>
          </w:p>
        </w:tc>
        <w:tc>
          <w:tcPr>
            <w:tcW w:w="2854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  <w:t>及以上学历；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  <w:t>岁以下，19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  <w:t>88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  <w:t>年1月1日（含）后出生；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  <w:t>具备招聘岗位所需资格条件。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  <w:t>业务人员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0"/>
                <w:szCs w:val="30"/>
                <w:u w:val="none"/>
              </w:rPr>
              <w:t>23072601002</w:t>
            </w:r>
            <w:bookmarkStart w:id="0" w:name="_GoBack"/>
            <w:bookmarkEnd w:id="0"/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  <w:t>人</w:t>
            </w:r>
          </w:p>
        </w:tc>
        <w:tc>
          <w:tcPr>
            <w:tcW w:w="6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lang w:eastAsia="zh-CN"/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</w:rPr>
              <w:t>金融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lang w:eastAsia="zh-CN"/>
              </w:rPr>
              <w:t>经济学类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  <w:lang w:eastAsia="zh-CN"/>
              </w:rPr>
              <w:t>公共管理类、工商管理类、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</w:rPr>
              <w:t>计算机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</w:rPr>
              <w:t>、医学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  <w:lang w:eastAsia="zh-CN"/>
              </w:rPr>
              <w:t>类、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</w:rPr>
              <w:t>药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  <w:lang w:eastAsia="zh-CN"/>
              </w:rPr>
              <w:t>学类等类别的相关专业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  <w:lang w:val="en-US" w:eastAsia="zh-CN"/>
              </w:rPr>
              <w:t>1人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  <w:t>2.不限专业1人，要求具有较好的文字功底、较强的语言表达和交流沟通能力；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  <w:t>.熟练使用办公软件。</w:t>
            </w: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953"/>
      </w:tabs>
      <w:spacing w:line="198" w:lineRule="exac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8458200</wp:posOffset>
              </wp:positionH>
              <wp:positionV relativeFrom="paragraph">
                <wp:posOffset>-152400</wp:posOffset>
              </wp:positionV>
              <wp:extent cx="445135" cy="23050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666pt;margin-top:-12pt;height:18.15pt;width:35.05pt;mso-position-horizontal-relative:margin;mso-wrap-style:none;z-index:251659264;mso-width-relative:page;mso-height-relative:page;" filled="f" stroked="f" coordsize="21600,21600" o:gfxdata="UEsDBAoAAAAAAIdO4kAAAAAAAAAAAAAAAAAEAAAAZHJzL1BLAwQUAAAACACHTuJAKdgDbtcAAAAM&#10;AQAADwAAAGRycy9kb3ducmV2LnhtbE2PzWrDMBCE74W+g9hCb4lkOZTgWs6hEGhLL3HyAIq1/qH6&#10;MZISp2/fzam9zbDD7Df17uYsu2JMU/AKirUAhr4LZvKDgtNxv9oCS1l7o23wqOAHE+yax4daVyYs&#10;/oDXNg+MSnyqtIIx57niPHUjOp3WYUZPtz5EpzPZOHAT9ULlznIpxAt3evL0YdQzvo3YfbcXp4Af&#10;2/2ybW0U4VP2X/bj/dBjUOr5qRCvwDLe8l8Y7viEDg0xncPFm8Qs+bKUNCYrWMkNiXtkI2QB7ExK&#10;lsCbmv8f0fwCUEsDBBQAAAAIAIdO4kA4MFrDBAIAAAMEAAAOAAAAZHJzL2Uyb0RvYy54bWytU8GO&#10;0zAQvSPxD5bvNGl3i1DUdLXaqghpgZUWPsB1nMYi9lhjt0n5GSRufASfg/Y3GDtJYZfLHrhYY3vm&#10;ed6b59VVb1p2VOg12JLPZzlnykqotN2X/POn7as3nPkgbCVasKrkJ+X51frli1XnCrWABtpKISMQ&#10;64vOlbwJwRVZ5mWjjPAzcMrSZQ1oRKAt7rMKRUfops0Wef466wArhyCV93S6GS75iIjPAYS61lJt&#10;QB6MsmFARdWKQJR8o53n69RtXSsZPta1V4G1JSemIa30CMW7uGbrlSj2KFyj5diCeE4LTzgZoS09&#10;eobaiCDYAfU/UEZLBA91mEkw2UAkKUIs5vkTbe4b4VTiQlJ7dxbd/z9Y+eF4h0xX5ATOrDA08Idv&#10;P379/M7mUZvO+YJS7t0dRnbe3YL84pmFm0bYvbpGhK5RoqKOUn72qCBuPJWyXfceKoIWhwBJpr5G&#10;EwFJANanaZzO01B9YJIOLy+X84slZ5KuFhf5Ml/GjjJRTMUOfXirwLAYlBxp2AlcHG99GFKnlPiW&#10;ha1u2zTw1j46IMzhRCXHjNVT94MKod/1oyA7qE5ECmFwE/0lChrAr5x15KSSW/o4nLXvLMkSTTcF&#10;OAW7KRBWUmHJA2dDeBMGcx4c6n1DuPNEybtrkm6rE63Y2NADyRE35I0kzOjjaL6/9ynrz99d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p2ANu1wAAAAwBAAAPAAAAAAAAAAEAIAAAACIAAABkcnMv&#10;ZG93bnJldi54bWxQSwECFAAUAAAACACHTuJAODBawwQCAAADBAAADgAAAAAAAAABACAAAAAm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C35B0"/>
    <w:rsid w:val="6E62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2023-07-26T07:22:00Z</dcterms:created>
  <dc:creator>Administrator</dc:creator>
  <cp:lastModifiedBy>Administrator</cp:lastModifiedBy>
  <dcterms:modified xsi:type="dcterms:W3CDTF">2023-07-26T08:39:43Z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647A8CC920684DC5923733D11DF62E84</vt:lpwstr>
  </property>
</Properties>
</file>