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一、一类教育人才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 2 人次以上）或全国职业技能大赛一等奖且为主要指导教师；</w:t>
      </w:r>
    </w:p>
    <w:p>
      <w:pPr>
        <w:numPr>
          <w:ilvl w:val="0"/>
          <w:numId w:val="0"/>
        </w:num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经认定与上述人员层次相当的其他人才。</w:t>
      </w:r>
    </w:p>
    <w:p>
      <w:pPr>
        <w:numPr>
          <w:ilvl w:val="0"/>
          <w:numId w:val="0"/>
        </w:num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二、二类教育人才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1.具有正高级职称的在职教师，省技术能手、浙江工匠；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2.博士研究生；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3.获全国竞赛省级赛区复赛一等奖主要指导教师，全省职业技能大赛一等奖获得者或主要指导教师；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三、三类教育人才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1.获得地市级名教师名校长、省市级名师工作室领衔者、学科带头人、省教坛新秀等称号的在职骨干教师；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2.经认定与上述人员层次相当的其他人才；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3.硕士研究生；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4.北京大学、清华大学、复旦大学、上海交通大学、浙江大学、南京大学、中国科学技术大学、哈尔滨工业大学、西安交通大学、中国人民大学、中国科学院大学、北京师范大学、华东师范大学本科毕业生；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5.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，综合成绩年段排名前90%。</w:t>
      </w:r>
    </w:p>
    <w:p>
      <w:pPr>
        <w:spacing w:line="490" w:lineRule="exact"/>
        <w:ind w:firstLine="640" w:firstLineChars="200"/>
        <w:rPr>
          <w:rFonts w:ascii="仿宋_GB2312" w:eastAsia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四、四类教育人才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1.东北师范大学、华中师范大学、陕西师范大学、西南大学、首都师范大学、湖南师范大学、华南师范大学、南京师范大学、浙江师范大学、杭州师范大学师范专业本科毕业生，综合成绩年段排名前 70%;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双一流高校建设学科相关专业本科毕业生，省属重点及以上高校师范专业或职教专业课相关专业本科毕业生，南京特殊教育师范学院特殊教育、康复专业本科毕业生，天津职业技术师范大学职教专业课相关专业本科毕业生，综合成绩年段排名前50%；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3.省内高校师范类专业本科毕业，综合成绩年段排名前30%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FhMzY5MWMyYzQ0ZGQxMzUzN2FkMmUxYmNiYTYifQ=="/>
  </w:docVars>
  <w:rsids>
    <w:rsidRoot w:val="08671B2C"/>
    <w:rsid w:val="086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2023-12-20T00:35:00Z</dcterms:created>
  <dc:creator>任微任为</dc:creator>
  <cp:lastModifiedBy>任微任为</cp:lastModifiedBy>
  <dcterms:modified xsi:type="dcterms:W3CDTF">2023-12-20T00:35:20Z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3C147051F17C4850AF5689A77BE1A8F3_11</vt:lpwstr>
  </property>
</Properties>
</file>