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84"/>
        <w:jc w:val="center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8"/>
          <w:szCs w:val="28"/>
          <w:bdr w:val="none" w:color="auto" w:sz="0" w:space="0"/>
          <w:shd w:val="clear" w:fill="FFFFFF"/>
        </w:rPr>
        <w:t>2024年招聘人员计划表</w:t>
      </w:r>
    </w:p>
    <w:tbl>
      <w:tblPr>
        <w:tblW w:w="10718" w:type="dxa"/>
        <w:jc w:val="center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3176"/>
        <w:gridCol w:w="1096"/>
        <w:gridCol w:w="5406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岗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位名称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5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sz w:val="19"/>
                <w:szCs w:val="19"/>
                <w:bdr w:val="none" w:color="auto" w:sz="0" w:space="0"/>
              </w:rPr>
              <w:t>招聘专业</w:t>
            </w: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名称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技能大赛指导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专任教师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会计学/财务管理</w:t>
            </w:r>
            <w:r>
              <w:rPr>
                <w:rFonts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大数据与商务分析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/经济统计学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统计学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3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大数据与会计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专任教师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5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会计学/财务管理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审计学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税务学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税收学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大数据技术专业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专任教师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5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大数据技术与工程/控制科学与工程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计算机科学与技术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计算机软件与理论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计算机系统结构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计算机应用技术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数据科学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数据科学和信息技术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动漫制作技术专业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专任教师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5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动画学/设计学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/VR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技术及应用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动画艺术学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信息艺术设计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数字媒体技术专业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专任教师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5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数字媒体技术/产品创意设计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设计学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/VR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技术及应用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动画艺术学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信息艺术设计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电子商务专业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专任教师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电子商务/营销管理/大数据与商务分析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现代物流管理专业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专任教师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物流工程/物流管理/工商管理/物流管理与工程/物流工程与管理/物流管理与电子商务/物流与供应链管理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建筑装饰工程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专任教师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5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工程管理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土木工程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建筑学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智能建造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智慧城市建造与管理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风景园林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建筑电气与智能化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中小企业创业与经营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专业专任教师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5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创业管理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创业学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创意管理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工商管理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企业管理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人力资源管理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财务管理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金融专业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专任教师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金融学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金融与风险统计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财富管理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互联网金融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金融工程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金融科技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经济大数据分析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统计专业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专任教师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金融与风险统计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经济大数据分析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商业大数据分析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数量经济学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统计学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经济统计学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学前教育专业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专任教师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5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学前教育学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广播影视节目制作专业专任教师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5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广播电视学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视觉传达设计专业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专任教师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5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设计学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艺术设计（视觉传达设计、多媒体设计、视觉设计、视觉媒介与传达设计、数字媒体艺术设计专业方向）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工艺美术品设计专业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专任教师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设计学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艺术设计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公共艺术课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专任教师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音乐（管乐方向）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思政课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专任教师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5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马克思主义理论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马克思主义基本原理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马克思主义中国化研究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思想政治教育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中共党史专业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哲学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18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体育课（篮球）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专任教师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体育教育训练学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体育教学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运动训练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（篮球专项）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体育课（羽毛球）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专任教师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体育教育训练学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体育教学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运动训练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（羽毛球专项）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体育课（乒乓球）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专任教师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体育教育训练学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体育教学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运动训练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（乒乓球专项）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21</w:t>
            </w: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韩语专任教师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5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朝鲜语（韩国语）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22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专职心理教师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5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心理学/应用心理学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23</w:t>
            </w: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专职辅导员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5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马克思主义理论/心理学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体育学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教育学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音乐与舞蹈学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计算机科学与技术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法学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中国语言文学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公共管理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管理科学与工程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2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（学科类别名称）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24</w:t>
            </w:r>
          </w:p>
        </w:tc>
        <w:tc>
          <w:tcPr>
            <w:tcW w:w="3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图书管理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5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图书馆学/情报学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数据科学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信息资源管理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计算机科学与技术</w:t>
            </w:r>
            <w:r>
              <w:rPr>
                <w:rFonts w:hint="default" w:ascii="Times New Roman Regular" w:hAnsi="Times New Roman Regular" w:eastAsia="Times New Roman Regular" w:cs="Times New Roman Regular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大数据管理与应用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42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合计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42</w:t>
            </w:r>
          </w:p>
        </w:tc>
        <w:tc>
          <w:tcPr>
            <w:tcW w:w="5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516" w:firstLine="38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9"/>
          <w:szCs w:val="19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48560181"/>
    <w:rsid w:val="0CE360B2"/>
    <w:rsid w:val="4856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2023-12-21T07:13:00Z</dcterms:created>
  <dc:creator>沁 清  欢 </dc:creator>
  <cp:lastModifiedBy>沁 清  欢 </cp:lastModifiedBy>
  <dcterms:modified xsi:type="dcterms:W3CDTF">2023-12-21T07:13:50Z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0DE688208CEB45A4AAE07D1BD12E1EC3_11</vt:lpwstr>
  </property>
</Properties>
</file>