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2023年马鞍山市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zh-TW" w:eastAsia="zh-TW"/>
        </w:rPr>
        <w:t>博望区人民医院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第二次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zh-TW" w:eastAsia="zh-TW"/>
        </w:rPr>
        <w:t>公开招聘员额池专业技术人员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岗位计划表</w:t>
      </w:r>
    </w:p>
    <w:bookmarkEnd w:id="0"/>
    <w:tbl>
      <w:tblPr>
        <w:tblStyle w:val="4"/>
        <w:tblW w:w="140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767"/>
        <w:gridCol w:w="633"/>
        <w:gridCol w:w="750"/>
        <w:gridCol w:w="733"/>
        <w:gridCol w:w="684"/>
        <w:gridCol w:w="658"/>
        <w:gridCol w:w="3953"/>
        <w:gridCol w:w="1163"/>
        <w:gridCol w:w="876"/>
        <w:gridCol w:w="927"/>
        <w:gridCol w:w="2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博望区卫健委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博望区人民医院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专业技术岗（影像科）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专科：医学影像技术专业（620403）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放射治疗技术专业（620408）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本科：医学影像技术专业（101003）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研究生：放射影像学（二级学科，105123）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核医学（二级学科，105125）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35周岁以下。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具有二级及以上医院从事医学影像(核磁或CT)操作技术工作1年及以上经历，需提供社保证明及原单位提供的相关工作经历证明原件。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博望区卫健委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博望区人民医院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专业技术岗（影像科）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专科：医学影像技术专业（620403）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放射治疗技术专业（620408）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本科：医学影像技术专业（101003）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研究生：放射影像学（二级学科，105123）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核医学（二级学科，105125）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yellow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yellow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yellow"/>
              </w:rPr>
              <w:t>周岁以下。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7098"/>
    <w:rsid w:val="67C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2023-12-30T02:39:00Z</dcterms:created>
  <dc:creator>wjwzj</dc:creator>
  <cp:lastModifiedBy>wjwzj</cp:lastModifiedBy>
  <dcterms:modified xsi:type="dcterms:W3CDTF">2023-12-30T02:39:57Z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