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EE" w:rsidRPr="00751297" w:rsidRDefault="00380DEE" w:rsidP="00380DEE">
      <w:pPr>
        <w:spacing w:line="360" w:lineRule="auto"/>
        <w:ind w:leftChars="200" w:left="420"/>
        <w:jc w:val="center"/>
        <w:rPr>
          <w:b/>
          <w:bCs/>
          <w:color w:val="000000"/>
          <w:sz w:val="28"/>
          <w:szCs w:val="28"/>
        </w:rPr>
      </w:pPr>
    </w:p>
    <w:p w:rsidR="00380DEE" w:rsidRPr="00751297" w:rsidRDefault="008A12AB" w:rsidP="008A12AB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F90345">
        <w:rPr>
          <w:rFonts w:hint="eastAsia"/>
          <w:b/>
          <w:bCs/>
          <w:color w:val="000000"/>
          <w:sz w:val="28"/>
          <w:szCs w:val="28"/>
        </w:rPr>
        <w:t>附件</w:t>
      </w:r>
      <w:r w:rsidRPr="00F90345">
        <w:rPr>
          <w:rFonts w:hint="eastAsia"/>
          <w:b/>
          <w:bCs/>
          <w:color w:val="000000"/>
          <w:sz w:val="28"/>
          <w:szCs w:val="28"/>
        </w:rPr>
        <w:t>1</w:t>
      </w:r>
      <w:r w:rsidRPr="00F90345">
        <w:rPr>
          <w:rFonts w:hint="eastAsia"/>
          <w:b/>
          <w:bCs/>
          <w:color w:val="000000"/>
          <w:sz w:val="28"/>
          <w:szCs w:val="28"/>
        </w:rPr>
        <w:t>：</w:t>
      </w:r>
      <w:r w:rsidR="008A1933"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202</w:t>
      </w:r>
      <w:r w:rsidR="003E4244">
        <w:rPr>
          <w:rFonts w:hint="eastAsia"/>
          <w:b/>
          <w:bCs/>
          <w:color w:val="000000"/>
          <w:sz w:val="28"/>
          <w:szCs w:val="28"/>
        </w:rPr>
        <w:t>4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年苏州市职业大学</w:t>
      </w:r>
      <w:r w:rsidR="00555139">
        <w:rPr>
          <w:rFonts w:hint="eastAsia"/>
          <w:b/>
          <w:bCs/>
          <w:color w:val="000000"/>
          <w:sz w:val="28"/>
          <w:szCs w:val="28"/>
        </w:rPr>
        <w:t>长期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公开招聘</w:t>
      </w:r>
      <w:r w:rsidR="00555139">
        <w:rPr>
          <w:rFonts w:hint="eastAsia"/>
          <w:b/>
          <w:bCs/>
          <w:color w:val="000000"/>
          <w:sz w:val="28"/>
          <w:szCs w:val="28"/>
        </w:rPr>
        <w:t>博士研究生专业技术人才</w:t>
      </w:r>
      <w:r w:rsidR="004C43D5">
        <w:rPr>
          <w:rFonts w:hint="eastAsia"/>
          <w:b/>
          <w:bCs/>
          <w:color w:val="000000"/>
          <w:sz w:val="28"/>
          <w:szCs w:val="28"/>
        </w:rPr>
        <w:t>岗位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简介表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129"/>
        <w:gridCol w:w="2586"/>
        <w:gridCol w:w="1073"/>
        <w:gridCol w:w="567"/>
        <w:gridCol w:w="1276"/>
        <w:gridCol w:w="3685"/>
        <w:gridCol w:w="2977"/>
        <w:gridCol w:w="1701"/>
      </w:tblGrid>
      <w:tr w:rsidR="00606A56" w:rsidRPr="00751297" w:rsidTr="00152B6A">
        <w:trPr>
          <w:trHeight w:val="555"/>
        </w:trPr>
        <w:tc>
          <w:tcPr>
            <w:tcW w:w="472" w:type="dxa"/>
            <w:shd w:val="clear" w:color="auto" w:fill="auto"/>
            <w:vAlign w:val="center"/>
            <w:hideMark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岗位简介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岗位类型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招聘人数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56FB">
              <w:rPr>
                <w:rFonts w:hint="eastAsia"/>
                <w:b/>
                <w:bCs/>
                <w:color w:val="000000"/>
                <w:szCs w:val="21"/>
              </w:rPr>
              <w:t>其他条件</w:t>
            </w:r>
          </w:p>
        </w:tc>
        <w:tc>
          <w:tcPr>
            <w:tcW w:w="1701" w:type="dxa"/>
            <w:vAlign w:val="center"/>
          </w:tcPr>
          <w:p w:rsidR="00705146" w:rsidRPr="00CA56FB" w:rsidRDefault="00705146" w:rsidP="00DD776E"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咨询电话</w:t>
            </w:r>
          </w:p>
        </w:tc>
      </w:tr>
      <w:tr w:rsidR="00606A56" w:rsidRPr="00751297" w:rsidTr="00152B6A">
        <w:trPr>
          <w:trHeight w:hRule="exact" w:val="1112"/>
        </w:trPr>
        <w:tc>
          <w:tcPr>
            <w:tcW w:w="472" w:type="dxa"/>
            <w:shd w:val="clear" w:color="auto" w:fill="auto"/>
            <w:vAlign w:val="center"/>
            <w:hideMark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3E4244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机电教师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从事自动化类、机械类及新能源汽车类专业教学及科研工作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9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3E4244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机电控制类、机械工程类、仪表仪器及测试技术类、计算机类、电子信息类、兵工宇航类、交通工程类、材料工程类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3E4244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</w:t>
            </w:r>
          </w:p>
        </w:tc>
        <w:tc>
          <w:tcPr>
            <w:tcW w:w="1701" w:type="dxa"/>
            <w:vMerge w:val="restart"/>
          </w:tcPr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0512-66875610陆老师</w:t>
            </w:r>
          </w:p>
        </w:tc>
      </w:tr>
      <w:tr w:rsidR="00606A56" w:rsidRPr="00751297" w:rsidTr="00152B6A">
        <w:trPr>
          <w:trHeight w:hRule="exact" w:val="1270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机电教师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从事自动化类、机械类及新能源汽车类专业教学及科研工作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7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3E4244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3E4244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机电控制类、机械工程类、仪表仪器及测试技术类、计算机类、电子信息类、兵工宇航类、交通工程类、材料工程类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3E4244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/>
          </w:tcPr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6A56" w:rsidRPr="00751297" w:rsidTr="00152B6A">
        <w:trPr>
          <w:trHeight w:hRule="exact" w:val="683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电子教师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从事自动化、集成电路及工业互联网等专业教学与科研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机电控制类、电子信息类、计算机类、基础理学类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2024年毕业生</w:t>
            </w:r>
            <w:r w:rsidRPr="00CA56FB">
              <w:rPr>
                <w:rFonts w:ascii="仿宋" w:eastAsia="仿宋" w:hAnsi="仿宋" w:hint="eastAsia"/>
                <w:szCs w:val="21"/>
              </w:rPr>
              <w:t>、2025年毕业生</w:t>
            </w:r>
          </w:p>
        </w:tc>
        <w:tc>
          <w:tcPr>
            <w:tcW w:w="1701" w:type="dxa"/>
            <w:vMerge w:val="restart"/>
            <w:vAlign w:val="center"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0512-66503391邓老师</w:t>
            </w:r>
          </w:p>
        </w:tc>
      </w:tr>
      <w:tr w:rsidR="00606A56" w:rsidRPr="00751297" w:rsidTr="00152B6A">
        <w:trPr>
          <w:trHeight w:hRule="exact" w:val="564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电子教师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从事自动化、集成电路及工业互联网等专业教学与科研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机电控制类、电子信息类、计算机类、基础理学类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6A56" w:rsidRPr="00751297" w:rsidTr="00152B6A">
        <w:trPr>
          <w:trHeight w:hRule="exact" w:val="700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A56FB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计算机教师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从事人工智能、网络、大数据等教学与科研工作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计算机类、基础理学类、机电控制类、统计类、仪表仪器及测试技术类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2024年毕业生</w:t>
            </w:r>
            <w:r w:rsidRPr="00CA56FB">
              <w:rPr>
                <w:rFonts w:ascii="仿宋" w:eastAsia="仿宋" w:hAnsi="仿宋" w:hint="eastAsia"/>
                <w:szCs w:val="21"/>
              </w:rPr>
              <w:t>、2025年毕业生</w:t>
            </w:r>
          </w:p>
        </w:tc>
        <w:tc>
          <w:tcPr>
            <w:tcW w:w="1701" w:type="dxa"/>
            <w:vMerge w:val="restart"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0512-66503531</w:t>
            </w:r>
            <w:r w:rsidRPr="00606A56">
              <w:rPr>
                <w:rFonts w:ascii="仿宋" w:eastAsia="仿宋" w:hAnsi="仿宋" w:hint="eastAsia"/>
                <w:szCs w:val="21"/>
              </w:rPr>
              <w:t>张老师</w:t>
            </w:r>
          </w:p>
        </w:tc>
      </w:tr>
      <w:tr w:rsidR="00606A56" w:rsidRPr="00751297" w:rsidTr="00152B6A">
        <w:trPr>
          <w:trHeight w:hRule="exact" w:val="582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A56FB"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数字媒体教师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从事虚拟现实教学与科研工作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计算机类、艺术类、教育类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2024年毕业生</w:t>
            </w:r>
            <w:r w:rsidRPr="00CA56FB">
              <w:rPr>
                <w:rFonts w:ascii="仿宋" w:eastAsia="仿宋" w:hAnsi="仿宋" w:hint="eastAsia"/>
                <w:szCs w:val="21"/>
              </w:rPr>
              <w:t>、2025年毕业生</w:t>
            </w:r>
          </w:p>
        </w:tc>
        <w:tc>
          <w:tcPr>
            <w:tcW w:w="1701" w:type="dxa"/>
            <w:vMerge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6A56" w:rsidRPr="00751297" w:rsidTr="00152B6A">
        <w:trPr>
          <w:trHeight w:hRule="exact" w:val="704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A56FB"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计算机教师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从事人工智能、网络、大数据等教学与科研工作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计算机类、基础理学类、机电控制类、统计类、仪表仪器及测试技术类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6A56" w:rsidRPr="00751297" w:rsidTr="00152B6A">
        <w:trPr>
          <w:trHeight w:hRule="exact" w:val="856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工商管理教师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电子商务、市场营销、物流管理专业教学与科研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经济类、工商管理类、商务贸易类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2024年毕业生、2025年毕业生；本科或硕士阶段须为经济类、工商管理类、商务贸易类专业。</w:t>
            </w:r>
          </w:p>
        </w:tc>
        <w:tc>
          <w:tcPr>
            <w:tcW w:w="1701" w:type="dxa"/>
            <w:vMerge w:val="restart"/>
          </w:tcPr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0512-66507387</w:t>
            </w:r>
            <w:r w:rsidRPr="00606A56">
              <w:rPr>
                <w:rFonts w:ascii="仿宋" w:eastAsia="仿宋" w:hAnsi="仿宋" w:hint="eastAsia"/>
                <w:szCs w:val="21"/>
              </w:rPr>
              <w:br/>
              <w:t>孟老师</w:t>
            </w:r>
          </w:p>
        </w:tc>
      </w:tr>
      <w:tr w:rsidR="00606A56" w:rsidRPr="00751297" w:rsidTr="00152B6A">
        <w:trPr>
          <w:trHeight w:hRule="exact" w:val="2130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lastRenderedPageBreak/>
              <w:t>9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工商管理教师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电子商务、市场营销、物流管理专业教学与科研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经济类、工商管理类、商务贸易类</w:t>
            </w:r>
          </w:p>
        </w:tc>
        <w:tc>
          <w:tcPr>
            <w:tcW w:w="2977" w:type="dxa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满足下列2项之一者：</w:t>
            </w:r>
            <w:r w:rsidRPr="00CA56FB">
              <w:rPr>
                <w:rFonts w:ascii="仿宋" w:eastAsia="仿宋" w:hAnsi="仿宋" w:hint="eastAsia"/>
                <w:szCs w:val="21"/>
              </w:rPr>
              <w:br/>
              <w:t xml:space="preserve">1.本人参加全国职业院校技能大赛教学能力比赛获国家级一等奖；    </w:t>
            </w:r>
            <w:r w:rsidRPr="00CA56FB">
              <w:rPr>
                <w:rFonts w:ascii="仿宋" w:eastAsia="仿宋" w:hAnsi="仿宋" w:hint="eastAsia"/>
                <w:szCs w:val="21"/>
              </w:rPr>
              <w:br/>
              <w:t xml:space="preserve">2.本人或直接指导学生参加全国职业院校技能大赛获国家级一等奖。        </w:t>
            </w:r>
          </w:p>
        </w:tc>
        <w:tc>
          <w:tcPr>
            <w:tcW w:w="1701" w:type="dxa"/>
            <w:vMerge/>
          </w:tcPr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6A56" w:rsidRPr="00751297" w:rsidTr="00152B6A">
        <w:trPr>
          <w:trHeight w:hRule="exact" w:val="861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金融教师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从事金融类专业教学与科研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5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财务财会类、工商管理类、经济类</w:t>
            </w:r>
          </w:p>
        </w:tc>
        <w:tc>
          <w:tcPr>
            <w:tcW w:w="2977" w:type="dxa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2024年毕业生、2025年毕业生；本科或硕士阶段须为财务财会类、工商管理类、经济类专业。</w:t>
            </w:r>
          </w:p>
        </w:tc>
        <w:tc>
          <w:tcPr>
            <w:tcW w:w="1701" w:type="dxa"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0512-66507380</w:t>
            </w:r>
          </w:p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万</w:t>
            </w:r>
            <w:r w:rsidRPr="00606A56">
              <w:rPr>
                <w:rFonts w:ascii="仿宋" w:eastAsia="仿宋" w:hAnsi="仿宋" w:hint="eastAsia"/>
                <w:szCs w:val="21"/>
              </w:rPr>
              <w:t>老师</w:t>
            </w:r>
          </w:p>
        </w:tc>
      </w:tr>
      <w:tr w:rsidR="00606A56" w:rsidRPr="00751297" w:rsidTr="00152B6A">
        <w:trPr>
          <w:trHeight w:hRule="exact" w:val="988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实验室管理人员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教学与实训中心实验室管理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化学工程类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2024年毕业生、2025年毕业生；本科或硕士阶段须为化学工程类专业。</w:t>
            </w:r>
          </w:p>
        </w:tc>
        <w:tc>
          <w:tcPr>
            <w:tcW w:w="1701" w:type="dxa"/>
            <w:vMerge w:val="restart"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0512-66507870</w:t>
            </w:r>
          </w:p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戴老师</w:t>
            </w:r>
          </w:p>
        </w:tc>
      </w:tr>
      <w:tr w:rsidR="00606A56" w:rsidRPr="00751297" w:rsidTr="00152B6A">
        <w:trPr>
          <w:trHeight w:hRule="exact" w:val="1994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旅游会展教师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从事文化旅游类专业教学与科研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公共管理类、工商管理类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本科或硕士阶段须为旅游管理、文化产业管理、文化事业管理、文化艺术管理、文化市场经营与管理、文化艺术事业管理、会展经济与管理、文化市场经营与管理、历史文化旅游、旅游服务与管理及相关专业。</w:t>
            </w:r>
          </w:p>
        </w:tc>
        <w:tc>
          <w:tcPr>
            <w:tcW w:w="1701" w:type="dxa"/>
            <w:vMerge/>
          </w:tcPr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6A56" w:rsidRPr="00751297" w:rsidTr="00152B6A">
        <w:trPr>
          <w:trHeight w:hRule="exact" w:val="988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食品检验检测教师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从事食品检验检测类专业教学与科研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/>
                <w:szCs w:val="21"/>
              </w:rPr>
              <w:t>营养与食品卫生学</w:t>
            </w:r>
            <w:r w:rsidRPr="00CA56FB">
              <w:rPr>
                <w:rFonts w:ascii="仿宋" w:eastAsia="仿宋" w:hAnsi="仿宋" w:hint="eastAsia"/>
                <w:szCs w:val="21"/>
              </w:rPr>
              <w:t>、</w:t>
            </w:r>
            <w:r w:rsidRPr="00CA56FB">
              <w:rPr>
                <w:rFonts w:ascii="仿宋" w:eastAsia="仿宋" w:hAnsi="仿宋"/>
                <w:szCs w:val="21"/>
              </w:rPr>
              <w:t>食品加工与安全</w:t>
            </w:r>
            <w:r w:rsidRPr="00CA56FB">
              <w:rPr>
                <w:rFonts w:ascii="仿宋" w:eastAsia="仿宋" w:hAnsi="仿宋" w:hint="eastAsia"/>
                <w:szCs w:val="21"/>
              </w:rPr>
              <w:t>、</w:t>
            </w:r>
            <w:r w:rsidRPr="00CA56FB">
              <w:rPr>
                <w:rFonts w:ascii="仿宋" w:eastAsia="仿宋" w:hAnsi="仿宋"/>
                <w:szCs w:val="21"/>
              </w:rPr>
              <w:t>食品工程</w:t>
            </w:r>
            <w:r w:rsidRPr="00CA56FB">
              <w:rPr>
                <w:rFonts w:ascii="仿宋" w:eastAsia="仿宋" w:hAnsi="仿宋" w:hint="eastAsia"/>
                <w:szCs w:val="21"/>
              </w:rPr>
              <w:t>、</w:t>
            </w:r>
            <w:r w:rsidRPr="00CA56FB">
              <w:rPr>
                <w:rFonts w:ascii="仿宋" w:eastAsia="仿宋" w:hAnsi="仿宋"/>
                <w:szCs w:val="21"/>
              </w:rPr>
              <w:t>食品科学与工程</w:t>
            </w:r>
            <w:r w:rsidRPr="00CA56FB">
              <w:rPr>
                <w:rFonts w:ascii="仿宋" w:eastAsia="仿宋" w:hAnsi="仿宋" w:hint="eastAsia"/>
                <w:szCs w:val="21"/>
              </w:rPr>
              <w:t>、食品与营养、</w:t>
            </w:r>
            <w:r w:rsidRPr="00CA56FB">
              <w:rPr>
                <w:rFonts w:ascii="仿宋" w:eastAsia="仿宋" w:hAnsi="仿宋"/>
                <w:szCs w:val="21"/>
              </w:rPr>
              <w:t>食品科学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2024年毕业生、2025年毕业生；本科或硕士阶段须为食品工程类专业。</w:t>
            </w:r>
          </w:p>
        </w:tc>
        <w:tc>
          <w:tcPr>
            <w:tcW w:w="1701" w:type="dxa"/>
            <w:vMerge/>
          </w:tcPr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6A56" w:rsidRPr="00751297" w:rsidTr="00152B6A">
        <w:trPr>
          <w:trHeight w:hRule="exact" w:val="1387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英语教师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从事英语专业教学与科研工作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外国语言文学类、教育类、中文文秘类、商务贸易类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2024年毕业生、2025年毕业生；本科和硕士阶段为英语语言文学、外国语言学及应用语言学、翻译、学科教学（英语）、英语口译、英语笔译、外国语言文学、</w:t>
            </w:r>
            <w:r w:rsidRPr="00CA56FB">
              <w:rPr>
                <w:rFonts w:ascii="仿宋" w:eastAsia="仿宋" w:hAnsi="仿宋"/>
                <w:szCs w:val="21"/>
              </w:rPr>
              <w:t>商务贸易类</w:t>
            </w:r>
            <w:r w:rsidRPr="00CA56FB">
              <w:rPr>
                <w:rFonts w:ascii="仿宋" w:eastAsia="仿宋" w:hAnsi="仿宋" w:hint="eastAsia"/>
                <w:szCs w:val="21"/>
              </w:rPr>
              <w:t>等相关专业。</w:t>
            </w:r>
          </w:p>
        </w:tc>
        <w:tc>
          <w:tcPr>
            <w:tcW w:w="1701" w:type="dxa"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0512-66501169</w:t>
            </w:r>
          </w:p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吴老师</w:t>
            </w:r>
          </w:p>
        </w:tc>
      </w:tr>
      <w:tr w:rsidR="00606A56" w:rsidRPr="00751297" w:rsidTr="00152B6A">
        <w:trPr>
          <w:trHeight w:hRule="exact" w:val="1022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艺术教师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从事艺术专业课程教学、科研及竞赛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艺术类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2024年毕业生、2025年毕业生；本、硕、博阶段均为艺术类专业。</w:t>
            </w:r>
          </w:p>
        </w:tc>
        <w:tc>
          <w:tcPr>
            <w:tcW w:w="1701" w:type="dxa"/>
          </w:tcPr>
          <w:p w:rsidR="00606A56" w:rsidRPr="00606A56" w:rsidRDefault="00606A56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0512-66507563</w:t>
            </w:r>
          </w:p>
          <w:p w:rsidR="00705146" w:rsidRPr="00CA56FB" w:rsidRDefault="00606A5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胡老师</w:t>
            </w:r>
          </w:p>
        </w:tc>
      </w:tr>
      <w:tr w:rsidR="00606A56" w:rsidRPr="00751297" w:rsidTr="00152B6A">
        <w:trPr>
          <w:trHeight w:hRule="exact" w:val="852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lastRenderedPageBreak/>
              <w:t>19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数学教师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担任大学数学教学及科学研究工作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基础理学类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2024年毕业生、2025年毕业生；本科阶段须为基础理学类专业。</w:t>
            </w:r>
          </w:p>
        </w:tc>
        <w:tc>
          <w:tcPr>
            <w:tcW w:w="1701" w:type="dxa"/>
          </w:tcPr>
          <w:p w:rsidR="00606A56" w:rsidRPr="00606A56" w:rsidRDefault="00606A56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0512-66503384</w:t>
            </w:r>
          </w:p>
          <w:p w:rsidR="00705146" w:rsidRPr="00CA56FB" w:rsidRDefault="00606A5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杨老师</w:t>
            </w:r>
          </w:p>
        </w:tc>
      </w:tr>
      <w:tr w:rsidR="00606A56" w:rsidRPr="00751297" w:rsidTr="00152B6A">
        <w:trPr>
          <w:trHeight w:hRule="exact" w:val="1452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>体育教师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承担体育教学、体育研究、运动训练工作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体育人文社会学、运动人体科学、体育教育训练学、民族传统体育学、体育学、体育教学、体育、学科教学（体</w:t>
            </w:r>
            <w:bookmarkStart w:id="0" w:name="_GoBack"/>
            <w:bookmarkEnd w:id="0"/>
            <w:r w:rsidRPr="00CA56FB">
              <w:rPr>
                <w:rFonts w:ascii="仿宋" w:eastAsia="仿宋" w:hAnsi="仿宋" w:hint="eastAsia"/>
                <w:szCs w:val="21"/>
              </w:rPr>
              <w:t>育）、运动训练、体育师范及相关专业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本科或硕士阶段为体育相关专业；具有正高职称的学历可放宽至硕士研究生。</w:t>
            </w:r>
          </w:p>
        </w:tc>
        <w:tc>
          <w:tcPr>
            <w:tcW w:w="1701" w:type="dxa"/>
          </w:tcPr>
          <w:p w:rsidR="00705146" w:rsidRPr="00606A56" w:rsidRDefault="00705146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0512-66503526</w:t>
            </w:r>
          </w:p>
          <w:p w:rsidR="00705146" w:rsidRPr="00CA56FB" w:rsidRDefault="00705146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06A56">
              <w:rPr>
                <w:rFonts w:ascii="仿宋" w:eastAsia="仿宋" w:hAnsi="仿宋" w:hint="eastAsia"/>
                <w:szCs w:val="21"/>
              </w:rPr>
              <w:t>王老师</w:t>
            </w:r>
          </w:p>
        </w:tc>
      </w:tr>
      <w:tr w:rsidR="00606A56" w:rsidRPr="00751297" w:rsidTr="00152B6A">
        <w:trPr>
          <w:trHeight w:hRule="exact" w:val="861"/>
        </w:trPr>
        <w:tc>
          <w:tcPr>
            <w:tcW w:w="472" w:type="dxa"/>
            <w:shd w:val="clear" w:color="auto" w:fill="auto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129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研究员</w:t>
            </w:r>
          </w:p>
        </w:tc>
        <w:tc>
          <w:tcPr>
            <w:tcW w:w="258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从事职业教育研究工作</w:t>
            </w:r>
          </w:p>
        </w:tc>
        <w:tc>
          <w:tcPr>
            <w:tcW w:w="1073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专技</w:t>
            </w:r>
          </w:p>
        </w:tc>
        <w:tc>
          <w:tcPr>
            <w:tcW w:w="567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05146" w:rsidRPr="00CA56FB" w:rsidRDefault="00705146" w:rsidP="00705146">
            <w:pPr>
              <w:jc w:val="center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705146" w:rsidRPr="00CA56FB" w:rsidRDefault="00705146" w:rsidP="00705146">
            <w:pPr>
              <w:jc w:val="left"/>
              <w:rPr>
                <w:rFonts w:ascii="仿宋" w:eastAsia="仿宋" w:hAnsi="仿宋"/>
                <w:szCs w:val="21"/>
              </w:rPr>
            </w:pPr>
            <w:r w:rsidRPr="00CA56FB">
              <w:rPr>
                <w:rFonts w:ascii="仿宋" w:eastAsia="仿宋" w:hAnsi="仿宋" w:hint="eastAsia"/>
                <w:szCs w:val="21"/>
              </w:rPr>
              <w:t>高等教育学、成人教育学、职业技术教育学、职业技术教育</w:t>
            </w:r>
          </w:p>
        </w:tc>
        <w:tc>
          <w:tcPr>
            <w:tcW w:w="2977" w:type="dxa"/>
            <w:vAlign w:val="center"/>
          </w:tcPr>
          <w:p w:rsidR="00705146" w:rsidRPr="00CA56FB" w:rsidRDefault="00705146" w:rsidP="00705146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A56FB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</w:tcPr>
          <w:p w:rsidR="00705146" w:rsidRDefault="006E19E0" w:rsidP="006E19E0">
            <w:pPr>
              <w:jc w:val="center"/>
              <w:rPr>
                <w:rFonts w:ascii="仿宋" w:eastAsia="仿宋" w:hAnsi="仿宋"/>
                <w:szCs w:val="21"/>
              </w:rPr>
            </w:pPr>
            <w:r w:rsidRPr="006E19E0">
              <w:rPr>
                <w:rFonts w:ascii="仿宋" w:eastAsia="仿宋" w:hAnsi="仿宋"/>
                <w:szCs w:val="21"/>
              </w:rPr>
              <w:t>0512-66503561</w:t>
            </w:r>
          </w:p>
          <w:p w:rsidR="002A4C3D" w:rsidRPr="00606A56" w:rsidRDefault="002A4C3D" w:rsidP="006E19E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黄老师</w:t>
            </w:r>
          </w:p>
        </w:tc>
      </w:tr>
    </w:tbl>
    <w:p w:rsidR="00380DEE" w:rsidRPr="00751297" w:rsidRDefault="00380DEE" w:rsidP="00F22828">
      <w:pPr>
        <w:spacing w:line="360" w:lineRule="auto"/>
        <w:ind w:leftChars="200" w:left="420"/>
        <w:rPr>
          <w:rFonts w:ascii="宋体" w:hAnsi="宋体" w:cs="宋体"/>
          <w:b/>
          <w:bCs/>
          <w:color w:val="000000"/>
          <w:kern w:val="0"/>
          <w:sz w:val="28"/>
          <w:szCs w:val="28"/>
        </w:rPr>
        <w:sectPr w:rsidR="00380DEE" w:rsidRPr="00751297" w:rsidSect="0084690B">
          <w:pgSz w:w="16840" w:h="11907" w:orient="landscape" w:code="9"/>
          <w:pgMar w:top="851" w:right="851" w:bottom="851" w:left="851" w:header="851" w:footer="992" w:gutter="0"/>
          <w:cols w:space="425"/>
          <w:docGrid w:linePitch="312"/>
        </w:sectPr>
      </w:pPr>
    </w:p>
    <w:p w:rsidR="004A72F0" w:rsidRPr="00751297" w:rsidRDefault="004A72F0" w:rsidP="00F22828">
      <w:pPr>
        <w:rPr>
          <w:color w:val="000000"/>
        </w:rPr>
      </w:pPr>
    </w:p>
    <w:sectPr w:rsidR="004A72F0" w:rsidRPr="00751297" w:rsidSect="00E2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88" w:rsidRDefault="00407488" w:rsidP="00380DEE">
      <w:r>
        <w:separator/>
      </w:r>
    </w:p>
  </w:endnote>
  <w:endnote w:type="continuationSeparator" w:id="0">
    <w:p w:rsidR="00407488" w:rsidRDefault="00407488" w:rsidP="003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88" w:rsidRDefault="00407488" w:rsidP="00380DEE">
      <w:r>
        <w:separator/>
      </w:r>
    </w:p>
  </w:footnote>
  <w:footnote w:type="continuationSeparator" w:id="0">
    <w:p w:rsidR="00407488" w:rsidRDefault="00407488" w:rsidP="0038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56A"/>
    <w:multiLevelType w:val="hybridMultilevel"/>
    <w:tmpl w:val="2CB6CB70"/>
    <w:lvl w:ilvl="0" w:tplc="4554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D41A79"/>
    <w:multiLevelType w:val="hybridMultilevel"/>
    <w:tmpl w:val="826E3E98"/>
    <w:lvl w:ilvl="0" w:tplc="6792D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DEE"/>
    <w:rsid w:val="000170CB"/>
    <w:rsid w:val="00017AC6"/>
    <w:rsid w:val="000246E7"/>
    <w:rsid w:val="000370F4"/>
    <w:rsid w:val="0004475A"/>
    <w:rsid w:val="000548C0"/>
    <w:rsid w:val="000551CE"/>
    <w:rsid w:val="00064A8E"/>
    <w:rsid w:val="00065749"/>
    <w:rsid w:val="000A0711"/>
    <w:rsid w:val="000A0B72"/>
    <w:rsid w:val="000B059B"/>
    <w:rsid w:val="000C4C54"/>
    <w:rsid w:val="000C5DBC"/>
    <w:rsid w:val="000D5C3D"/>
    <w:rsid w:val="000D7FAC"/>
    <w:rsid w:val="00107ABC"/>
    <w:rsid w:val="00110D2A"/>
    <w:rsid w:val="00124C18"/>
    <w:rsid w:val="0012563F"/>
    <w:rsid w:val="00141FA0"/>
    <w:rsid w:val="0014316E"/>
    <w:rsid w:val="00152B6A"/>
    <w:rsid w:val="0016518C"/>
    <w:rsid w:val="00195253"/>
    <w:rsid w:val="001975F3"/>
    <w:rsid w:val="001B068C"/>
    <w:rsid w:val="001C6AAB"/>
    <w:rsid w:val="001D0CA6"/>
    <w:rsid w:val="001D7362"/>
    <w:rsid w:val="001D7A25"/>
    <w:rsid w:val="001E28BD"/>
    <w:rsid w:val="001F77DA"/>
    <w:rsid w:val="00203AAD"/>
    <w:rsid w:val="0020543D"/>
    <w:rsid w:val="002074D3"/>
    <w:rsid w:val="00216F97"/>
    <w:rsid w:val="0021728E"/>
    <w:rsid w:val="00223392"/>
    <w:rsid w:val="00227541"/>
    <w:rsid w:val="0023697A"/>
    <w:rsid w:val="002441AF"/>
    <w:rsid w:val="002513E0"/>
    <w:rsid w:val="0025201D"/>
    <w:rsid w:val="00256054"/>
    <w:rsid w:val="002733F3"/>
    <w:rsid w:val="00280395"/>
    <w:rsid w:val="0029143E"/>
    <w:rsid w:val="0029387E"/>
    <w:rsid w:val="002A23EB"/>
    <w:rsid w:val="002A4C3D"/>
    <w:rsid w:val="002B2ACC"/>
    <w:rsid w:val="002B3DE5"/>
    <w:rsid w:val="002B7BDC"/>
    <w:rsid w:val="002C6BF2"/>
    <w:rsid w:val="002F254A"/>
    <w:rsid w:val="00303A18"/>
    <w:rsid w:val="0031655F"/>
    <w:rsid w:val="00317EE0"/>
    <w:rsid w:val="00330E5A"/>
    <w:rsid w:val="003451F7"/>
    <w:rsid w:val="00356065"/>
    <w:rsid w:val="003600F6"/>
    <w:rsid w:val="00374C0F"/>
    <w:rsid w:val="00374C3F"/>
    <w:rsid w:val="00380DEE"/>
    <w:rsid w:val="00395BE8"/>
    <w:rsid w:val="003A0944"/>
    <w:rsid w:val="003B6D9D"/>
    <w:rsid w:val="003D4B09"/>
    <w:rsid w:val="003D54BC"/>
    <w:rsid w:val="003E4244"/>
    <w:rsid w:val="003F1220"/>
    <w:rsid w:val="003F1C25"/>
    <w:rsid w:val="003F1DDC"/>
    <w:rsid w:val="00402A49"/>
    <w:rsid w:val="0040610A"/>
    <w:rsid w:val="00406538"/>
    <w:rsid w:val="00407488"/>
    <w:rsid w:val="00417712"/>
    <w:rsid w:val="00425DB4"/>
    <w:rsid w:val="00430530"/>
    <w:rsid w:val="00464C37"/>
    <w:rsid w:val="004750BC"/>
    <w:rsid w:val="00482DFC"/>
    <w:rsid w:val="00497CC8"/>
    <w:rsid w:val="004A72F0"/>
    <w:rsid w:val="004C43D5"/>
    <w:rsid w:val="004D4061"/>
    <w:rsid w:val="004D44B2"/>
    <w:rsid w:val="004D4AC4"/>
    <w:rsid w:val="004E3C51"/>
    <w:rsid w:val="004F4B44"/>
    <w:rsid w:val="005053A7"/>
    <w:rsid w:val="005208FE"/>
    <w:rsid w:val="00521254"/>
    <w:rsid w:val="00526E99"/>
    <w:rsid w:val="00536892"/>
    <w:rsid w:val="00536AC0"/>
    <w:rsid w:val="00544D61"/>
    <w:rsid w:val="00553705"/>
    <w:rsid w:val="00555139"/>
    <w:rsid w:val="005622D1"/>
    <w:rsid w:val="00580825"/>
    <w:rsid w:val="005A04A0"/>
    <w:rsid w:val="005C612E"/>
    <w:rsid w:val="005C6EFD"/>
    <w:rsid w:val="005E5210"/>
    <w:rsid w:val="005E6BFD"/>
    <w:rsid w:val="005E7712"/>
    <w:rsid w:val="005F49E8"/>
    <w:rsid w:val="005F7351"/>
    <w:rsid w:val="00606A56"/>
    <w:rsid w:val="00616DFF"/>
    <w:rsid w:val="006201BD"/>
    <w:rsid w:val="006375BF"/>
    <w:rsid w:val="00640D55"/>
    <w:rsid w:val="00643713"/>
    <w:rsid w:val="00645DD7"/>
    <w:rsid w:val="006509D2"/>
    <w:rsid w:val="00650A13"/>
    <w:rsid w:val="00651077"/>
    <w:rsid w:val="00670EAB"/>
    <w:rsid w:val="00671640"/>
    <w:rsid w:val="00682C8B"/>
    <w:rsid w:val="00687E6E"/>
    <w:rsid w:val="006A0FEF"/>
    <w:rsid w:val="006A2534"/>
    <w:rsid w:val="006A4F63"/>
    <w:rsid w:val="006A51A6"/>
    <w:rsid w:val="006A5E79"/>
    <w:rsid w:val="006C17B9"/>
    <w:rsid w:val="006C27B4"/>
    <w:rsid w:val="006D5F52"/>
    <w:rsid w:val="006E10B3"/>
    <w:rsid w:val="006E19E0"/>
    <w:rsid w:val="006E1FD5"/>
    <w:rsid w:val="006E4C58"/>
    <w:rsid w:val="006F0ABB"/>
    <w:rsid w:val="0070444A"/>
    <w:rsid w:val="00705146"/>
    <w:rsid w:val="00706867"/>
    <w:rsid w:val="007125B7"/>
    <w:rsid w:val="007149CE"/>
    <w:rsid w:val="00744BB7"/>
    <w:rsid w:val="00747872"/>
    <w:rsid w:val="00751297"/>
    <w:rsid w:val="0075435D"/>
    <w:rsid w:val="00762937"/>
    <w:rsid w:val="00764BEC"/>
    <w:rsid w:val="00766075"/>
    <w:rsid w:val="007665BE"/>
    <w:rsid w:val="00772D9A"/>
    <w:rsid w:val="0077670F"/>
    <w:rsid w:val="007C0589"/>
    <w:rsid w:val="007D0780"/>
    <w:rsid w:val="007D0844"/>
    <w:rsid w:val="007D2403"/>
    <w:rsid w:val="00801E95"/>
    <w:rsid w:val="0081335D"/>
    <w:rsid w:val="00824997"/>
    <w:rsid w:val="008376FB"/>
    <w:rsid w:val="00845AFF"/>
    <w:rsid w:val="00857DA9"/>
    <w:rsid w:val="00867708"/>
    <w:rsid w:val="008762DA"/>
    <w:rsid w:val="00886C53"/>
    <w:rsid w:val="008A12AB"/>
    <w:rsid w:val="008A1933"/>
    <w:rsid w:val="008B03AA"/>
    <w:rsid w:val="008B5692"/>
    <w:rsid w:val="008C6AF7"/>
    <w:rsid w:val="008D2770"/>
    <w:rsid w:val="008D2D1A"/>
    <w:rsid w:val="008D4D3B"/>
    <w:rsid w:val="00900FAA"/>
    <w:rsid w:val="00903E8A"/>
    <w:rsid w:val="00926023"/>
    <w:rsid w:val="00927D5D"/>
    <w:rsid w:val="0093029D"/>
    <w:rsid w:val="0094768A"/>
    <w:rsid w:val="00963306"/>
    <w:rsid w:val="0097233C"/>
    <w:rsid w:val="009747DD"/>
    <w:rsid w:val="009906B1"/>
    <w:rsid w:val="009A6AE8"/>
    <w:rsid w:val="009B54E3"/>
    <w:rsid w:val="009C448D"/>
    <w:rsid w:val="009C66EF"/>
    <w:rsid w:val="009E4C5A"/>
    <w:rsid w:val="009E7672"/>
    <w:rsid w:val="009E7DCA"/>
    <w:rsid w:val="009F452C"/>
    <w:rsid w:val="009F6D34"/>
    <w:rsid w:val="00A21C58"/>
    <w:rsid w:val="00A27161"/>
    <w:rsid w:val="00A2757D"/>
    <w:rsid w:val="00A35CE0"/>
    <w:rsid w:val="00A37C55"/>
    <w:rsid w:val="00A462FE"/>
    <w:rsid w:val="00A635A4"/>
    <w:rsid w:val="00A6389A"/>
    <w:rsid w:val="00A8499E"/>
    <w:rsid w:val="00AC29FE"/>
    <w:rsid w:val="00AD268F"/>
    <w:rsid w:val="00AF025B"/>
    <w:rsid w:val="00AF6496"/>
    <w:rsid w:val="00B066ED"/>
    <w:rsid w:val="00B140C2"/>
    <w:rsid w:val="00B327D6"/>
    <w:rsid w:val="00B35D21"/>
    <w:rsid w:val="00B36D75"/>
    <w:rsid w:val="00B45727"/>
    <w:rsid w:val="00B45FB5"/>
    <w:rsid w:val="00B4670A"/>
    <w:rsid w:val="00B702CE"/>
    <w:rsid w:val="00BA6543"/>
    <w:rsid w:val="00BB4A54"/>
    <w:rsid w:val="00BC199C"/>
    <w:rsid w:val="00BE2239"/>
    <w:rsid w:val="00BE2F6B"/>
    <w:rsid w:val="00C0167A"/>
    <w:rsid w:val="00C12FED"/>
    <w:rsid w:val="00C241BB"/>
    <w:rsid w:val="00C337C8"/>
    <w:rsid w:val="00C679A5"/>
    <w:rsid w:val="00C716C2"/>
    <w:rsid w:val="00C721B6"/>
    <w:rsid w:val="00C82386"/>
    <w:rsid w:val="00C944A1"/>
    <w:rsid w:val="00CA5065"/>
    <w:rsid w:val="00CA56FB"/>
    <w:rsid w:val="00CB6732"/>
    <w:rsid w:val="00CD3280"/>
    <w:rsid w:val="00CD6B41"/>
    <w:rsid w:val="00CE4119"/>
    <w:rsid w:val="00CE6BE7"/>
    <w:rsid w:val="00D41F85"/>
    <w:rsid w:val="00D4206D"/>
    <w:rsid w:val="00D421A0"/>
    <w:rsid w:val="00D5216D"/>
    <w:rsid w:val="00D620EB"/>
    <w:rsid w:val="00D6240A"/>
    <w:rsid w:val="00D776FA"/>
    <w:rsid w:val="00D80633"/>
    <w:rsid w:val="00D80E1D"/>
    <w:rsid w:val="00D831EF"/>
    <w:rsid w:val="00D94ED9"/>
    <w:rsid w:val="00DA1A51"/>
    <w:rsid w:val="00DA3042"/>
    <w:rsid w:val="00DC3966"/>
    <w:rsid w:val="00DD776E"/>
    <w:rsid w:val="00DE489C"/>
    <w:rsid w:val="00DE6B97"/>
    <w:rsid w:val="00DF79AE"/>
    <w:rsid w:val="00E066A6"/>
    <w:rsid w:val="00E140E8"/>
    <w:rsid w:val="00E15F0F"/>
    <w:rsid w:val="00E17D21"/>
    <w:rsid w:val="00E24229"/>
    <w:rsid w:val="00E2513E"/>
    <w:rsid w:val="00E258CD"/>
    <w:rsid w:val="00E33DB0"/>
    <w:rsid w:val="00E4764F"/>
    <w:rsid w:val="00E47EAB"/>
    <w:rsid w:val="00E5295D"/>
    <w:rsid w:val="00E6009B"/>
    <w:rsid w:val="00E64745"/>
    <w:rsid w:val="00E65253"/>
    <w:rsid w:val="00E72E86"/>
    <w:rsid w:val="00E73CC4"/>
    <w:rsid w:val="00E8312D"/>
    <w:rsid w:val="00E907EB"/>
    <w:rsid w:val="00E9633E"/>
    <w:rsid w:val="00EA23F8"/>
    <w:rsid w:val="00EB0FC0"/>
    <w:rsid w:val="00EC41F5"/>
    <w:rsid w:val="00ED0478"/>
    <w:rsid w:val="00ED0FBF"/>
    <w:rsid w:val="00EE0D3E"/>
    <w:rsid w:val="00EE4F5F"/>
    <w:rsid w:val="00F22828"/>
    <w:rsid w:val="00F411E1"/>
    <w:rsid w:val="00F54BA1"/>
    <w:rsid w:val="00F62987"/>
    <w:rsid w:val="00F70631"/>
    <w:rsid w:val="00F72405"/>
    <w:rsid w:val="00F83C66"/>
    <w:rsid w:val="00F90345"/>
    <w:rsid w:val="00F97827"/>
    <w:rsid w:val="00FA1AFA"/>
    <w:rsid w:val="00FB09E9"/>
    <w:rsid w:val="00FB334F"/>
    <w:rsid w:val="00FB60CE"/>
    <w:rsid w:val="00FB6580"/>
    <w:rsid w:val="00FC1578"/>
    <w:rsid w:val="00FC475B"/>
    <w:rsid w:val="00F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E1125"/>
  <w15:docId w15:val="{F42E3A3D-BFB1-4CEC-BF5D-93BE5FB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DE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87E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7E6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016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C6FF-EED2-4F62-B3CD-445835A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312</Words>
  <Characters>1785</Characters>
  <Application>Microsoft Office Word</Application>
  <DocSecurity>0</DocSecurity>
  <Lines>14</Lines>
  <Paragraphs>4</Paragraphs>
  <ScaleCrop>false</ScaleCrop>
  <Company>Sky123.Org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陆英</dc:creator>
  <cp:lastModifiedBy>Microsoft</cp:lastModifiedBy>
  <cp:revision>22</cp:revision>
  <cp:lastPrinted>2024-03-19T07:54:00Z</cp:lastPrinted>
  <dcterms:created xsi:type="dcterms:W3CDTF">2022-10-10T02:38:00Z</dcterms:created>
  <dcterms:modified xsi:type="dcterms:W3CDTF">2024-03-20T04:28:00Z</dcterms:modified>
</cp:coreProperties>
</file>