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hAnsi="方正黑体简体" w:eastAsia="方正黑体简体" w:cs="方正黑体简体"/>
          <w:kern w:val="0"/>
        </w:rPr>
      </w:pPr>
      <w:r>
        <w:rPr>
          <w:rFonts w:hint="eastAsia" w:ascii="方正黑体简体" w:hAnsi="方正黑体简体" w:eastAsia="方正黑体简体" w:cs="方正黑体简体"/>
          <w:kern w:val="0"/>
        </w:rPr>
        <w:t>附件1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2024年宁波高新区事业单位优秀人才招聘岗位、人数及资格条件</w:t>
      </w:r>
    </w:p>
    <w:tbl>
      <w:tblPr>
        <w:tblStyle w:val="4"/>
        <w:tblW w:w="13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397"/>
        <w:gridCol w:w="1138"/>
        <w:gridCol w:w="2565"/>
        <w:gridCol w:w="6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color w:val="000000"/>
                <w:sz w:val="2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color w:val="000000"/>
                <w:sz w:val="2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color w:val="000000"/>
                <w:sz w:val="2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640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color w:val="000000"/>
                <w:sz w:val="2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经济管理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  <w:t>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研究生学历，</w:t>
            </w:r>
          </w:p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硕士及以上学位</w:t>
            </w:r>
          </w:p>
        </w:tc>
        <w:tc>
          <w:tcPr>
            <w:tcW w:w="640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理论经济学类、应用经济学类、统计学类、工商管理类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产业招商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  <w:t>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研究生学历，</w:t>
            </w:r>
          </w:p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硕士及以上学位</w:t>
            </w:r>
          </w:p>
        </w:tc>
        <w:tc>
          <w:tcPr>
            <w:tcW w:w="640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电子科学与技术类、信息与通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信工程类、计算机科学与技术类、软件工程类、材料科学与工程类、化学类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项目管理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  <w:t>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研究生学历，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硕士及以上学位</w:t>
            </w:r>
          </w:p>
        </w:tc>
        <w:tc>
          <w:tcPr>
            <w:tcW w:w="640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数学类、物理学类、化学类、生态学类、材料科学与工程类、管理科学与工程类、光学工程类、电气工程类、控制科学与工程类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  <w:t>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研究生学历，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硕士及以上学位</w:t>
            </w:r>
          </w:p>
        </w:tc>
        <w:tc>
          <w:tcPr>
            <w:tcW w:w="640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建设学类、土木工程类、交通运输工程类、环境科学与工程类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12"/>
                <w:kern w:val="0"/>
                <w:sz w:val="22"/>
              </w:rPr>
              <w:t>信息化管理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  <w:t>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研究生学历，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硕士及以上学位</w:t>
            </w:r>
          </w:p>
        </w:tc>
        <w:tc>
          <w:tcPr>
            <w:tcW w:w="640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电子科学与技术类、信息与通信工程类、计算机科学与技术类、软件工程类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数据统计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分析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  <w:t>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本科及以上学历，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学士及以上学位</w:t>
            </w:r>
          </w:p>
        </w:tc>
        <w:tc>
          <w:tcPr>
            <w:tcW w:w="640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数学类、统计学类、计算机类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  <w:t>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本科及以上学历，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学士及以上学位</w:t>
            </w:r>
          </w:p>
        </w:tc>
        <w:tc>
          <w:tcPr>
            <w:tcW w:w="640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工商管理类、财政学类</w:t>
            </w:r>
          </w:p>
        </w:tc>
      </w:tr>
    </w:tbl>
    <w:p>
      <w:pPr>
        <w:snapToGrid w:val="0"/>
        <w:spacing w:line="440" w:lineRule="exact"/>
        <w:jc w:val="left"/>
        <w:textAlignment w:val="center"/>
      </w:pPr>
      <w:r>
        <w:rPr>
          <w:rFonts w:hint="eastAsia" w:ascii="方正仿宋简体" w:hAnsi="方正仿宋简体" w:eastAsia="方正仿宋简体" w:cs="方正仿宋简体"/>
          <w:kern w:val="0"/>
          <w:sz w:val="24"/>
        </w:rPr>
        <w:t>备注：专业名称相近的以所学课程为准。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43DA0"/>
    <w:rsid w:val="4A843DA0"/>
    <w:rsid w:val="7DDFAB97"/>
    <w:rsid w:val="A3EFF7AA"/>
    <w:rsid w:val="FF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2024-04-23T00:57:00Z</dcterms:created>
  <dc:creator>Administrator</dc:creator>
  <cp:lastModifiedBy>人社局收文员</cp:lastModifiedBy>
  <dcterms:modified xsi:type="dcterms:W3CDTF">2024-04-22T17:17:01Z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