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简体" w:hAnsi="方正黑体简体" w:eastAsia="方正黑体简体" w:cs="方正黑体简体"/>
          <w:kern w:val="0"/>
        </w:rPr>
      </w:pPr>
      <w:r>
        <w:rPr>
          <w:rFonts w:hint="eastAsia" w:ascii="方正黑体简体" w:hAnsi="方正黑体简体" w:eastAsia="方正黑体简体" w:cs="方正黑体简体"/>
          <w:kern w:val="0"/>
        </w:rPr>
        <w:t>附件1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2024年宁波高新区事业单位优秀人才招聘岗位、人数及资格条件</w:t>
      </w:r>
    </w:p>
    <w:tbl>
      <w:tblPr>
        <w:tblStyle w:val="4"/>
        <w:tblW w:w="13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8"/>
        <w:gridCol w:w="1397"/>
        <w:gridCol w:w="1138"/>
        <w:gridCol w:w="2565"/>
        <w:gridCol w:w="6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岗位类别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楷体简体" w:hAnsi="方正楷体简体" w:eastAsia="方正楷体简体" w:cs="方正楷体简体"/>
                <w:color w:val="000000"/>
                <w:sz w:val="22"/>
              </w:rPr>
            </w:pPr>
            <w:r>
              <w:rPr>
                <w:rFonts w:hint="eastAsia" w:ascii="方正楷体简体" w:hAnsi="方正楷体简体" w:eastAsia="方正楷体简体" w:cs="方正楷体简体"/>
                <w:color w:val="000000"/>
                <w:kern w:val="0"/>
                <w:sz w:val="22"/>
              </w:rPr>
              <w:t>专业要求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经济管理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研究生学历，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理论经济学类、应用经济学类、统计学类、工商管理类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产业招商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研究生学历，</w:t>
            </w:r>
          </w:p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spacing w:line="320" w:lineRule="exact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电子科学与技术类、信息与通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信工程类、计算机科学与技术类、软件工程类、材料科学与工程类、化学类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项目管理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研究生学历，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数学类、物理学类、化学类、生态学类、材料科学与工程类、管理科学与工程类、光学工程类、电气工程类、控制科学与工程类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工程管理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2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研究生学历，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建设学类、土木工程类、交通运输工程类、环境科学与工程类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pacing w:val="-12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pacing w:val="-12"/>
                <w:kern w:val="0"/>
                <w:sz w:val="22"/>
              </w:rPr>
              <w:t>信息化管理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研究生学历，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硕士及以上学位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电子科学与技术类、信息与通信工程类、计算机科学与技术类、软件工程类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数据统计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本科及以上学历，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学士及以上学位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数学类、统计学类、计算机类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9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财务管理</w:t>
            </w:r>
          </w:p>
        </w:tc>
        <w:tc>
          <w:tcPr>
            <w:tcW w:w="1397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13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22"/>
              </w:rPr>
              <w:t>1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本科及以上学历，</w:t>
            </w:r>
          </w:p>
          <w:p>
            <w:pPr>
              <w:pStyle w:val="2"/>
              <w:spacing w:line="320" w:lineRule="exact"/>
              <w:jc w:val="center"/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2"/>
                <w:szCs w:val="22"/>
              </w:rPr>
              <w:t>学士及以上学位</w:t>
            </w:r>
          </w:p>
        </w:tc>
        <w:tc>
          <w:tcPr>
            <w:tcW w:w="6402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2"/>
              </w:rPr>
              <w:t>工商管理类、财政学类</w:t>
            </w:r>
          </w:p>
        </w:tc>
      </w:tr>
    </w:tbl>
    <w:p>
      <w:pPr>
        <w:snapToGrid w:val="0"/>
        <w:spacing w:line="440" w:lineRule="exact"/>
        <w:jc w:val="left"/>
        <w:textAlignment w:val="center"/>
      </w:pPr>
      <w:r>
        <w:rPr>
          <w:rFonts w:hint="eastAsia" w:ascii="方正仿宋简体" w:hAnsi="方正仿宋简体" w:eastAsia="方正仿宋简体" w:cs="方正仿宋简体"/>
          <w:kern w:val="0"/>
          <w:sz w:val="24"/>
        </w:rPr>
        <w:t>备注：专业名称相近的以所学课程为准。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43DA0"/>
    <w:rsid w:val="4A843DA0"/>
    <w:rsid w:val="7DDFAB97"/>
    <w:rsid w:val="A3EFF7AA"/>
    <w:rsid w:val="FF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黑体" w:hAnsi="黑体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2024-04-23T00:57:00Z</dcterms:created>
  <dc:creator>Administrator</dc:creator>
  <cp:lastModifiedBy>人社局收文员</cp:lastModifiedBy>
  <dcterms:modified xsi:type="dcterms:W3CDTF">2024-04-22T17:17:01Z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